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a"/>
        <w:tblW w:w="14400" w:type="dxa"/>
        <w:tblInd w:w="-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20"/>
        <w:gridCol w:w="1890"/>
        <w:gridCol w:w="6390"/>
        <w:gridCol w:w="990"/>
        <w:gridCol w:w="990"/>
        <w:gridCol w:w="990"/>
        <w:gridCol w:w="2430"/>
      </w:tblGrid>
      <w:tr w:rsidR="008529AF" w14:paraId="3F2DFA90" w14:textId="77777777" w:rsidTr="00593322">
        <w:trPr>
          <w:trHeight w:val="880"/>
          <w:tblHeader/>
        </w:trPr>
        <w:tc>
          <w:tcPr>
            <w:tcW w:w="720" w:type="dxa"/>
            <w:shd w:val="clear" w:color="auto" w:fill="auto"/>
            <w:vAlign w:val="center"/>
          </w:tcPr>
          <w:p w14:paraId="0CB45D01" w14:textId="77777777" w:rsidR="008529AF" w:rsidRDefault="008529AF">
            <w:pPr>
              <w:keepLines/>
              <w:spacing w:before="40" w:after="40"/>
              <w:jc w:val="center"/>
              <w:rPr>
                <w:rFonts w:ascii="Arial" w:eastAsia="Arial" w:hAnsi="Arial" w:cs="Arial"/>
                <w:sz w:val="22"/>
                <w:szCs w:val="22"/>
              </w:rPr>
            </w:pPr>
            <w:r>
              <w:rPr>
                <w:rFonts w:ascii="Arial" w:eastAsia="Arial" w:hAnsi="Arial" w:cs="Arial"/>
                <w:b/>
                <w:sz w:val="22"/>
                <w:szCs w:val="22"/>
              </w:rPr>
              <w:t>#</w:t>
            </w:r>
          </w:p>
        </w:tc>
        <w:tc>
          <w:tcPr>
            <w:tcW w:w="1890" w:type="dxa"/>
            <w:shd w:val="clear" w:color="auto" w:fill="auto"/>
            <w:tcMar>
              <w:left w:w="43" w:type="dxa"/>
              <w:right w:w="43" w:type="dxa"/>
            </w:tcMar>
            <w:vAlign w:val="center"/>
          </w:tcPr>
          <w:p w14:paraId="7E60A442" w14:textId="51526D05" w:rsidR="008529AF" w:rsidRDefault="00BE3071" w:rsidP="00E567C4">
            <w:pPr>
              <w:keepLines/>
              <w:spacing w:before="40" w:after="40"/>
              <w:ind w:left="-54" w:right="-36"/>
              <w:jc w:val="center"/>
              <w:rPr>
                <w:rFonts w:ascii="Arial" w:eastAsia="Arial" w:hAnsi="Arial" w:cs="Arial"/>
                <w:sz w:val="18"/>
                <w:szCs w:val="18"/>
              </w:rPr>
            </w:pPr>
            <w:r>
              <w:rPr>
                <w:rFonts w:ascii="Arial" w:eastAsia="Arial" w:hAnsi="Arial" w:cs="Arial"/>
                <w:b/>
                <w:sz w:val="18"/>
                <w:szCs w:val="18"/>
              </w:rPr>
              <w:t>Topic</w:t>
            </w:r>
          </w:p>
        </w:tc>
        <w:tc>
          <w:tcPr>
            <w:tcW w:w="6390" w:type="dxa"/>
            <w:shd w:val="clear" w:color="auto" w:fill="auto"/>
            <w:tcMar>
              <w:left w:w="58" w:type="dxa"/>
              <w:right w:w="43" w:type="dxa"/>
            </w:tcMar>
            <w:vAlign w:val="center"/>
          </w:tcPr>
          <w:p w14:paraId="488FFEAE" w14:textId="344BC84D" w:rsidR="008529AF" w:rsidRDefault="008529AF" w:rsidP="004518DA">
            <w:pPr>
              <w:keepLines/>
              <w:tabs>
                <w:tab w:val="center" w:pos="2500"/>
                <w:tab w:val="right" w:pos="5001"/>
              </w:tabs>
              <w:spacing w:before="40" w:after="40"/>
              <w:jc w:val="center"/>
              <w:rPr>
                <w:rFonts w:ascii="Arial" w:eastAsia="Arial" w:hAnsi="Arial" w:cs="Arial"/>
                <w:sz w:val="22"/>
                <w:szCs w:val="22"/>
              </w:rPr>
            </w:pPr>
            <w:r>
              <w:rPr>
                <w:rFonts w:ascii="Arial" w:eastAsia="Arial" w:hAnsi="Arial" w:cs="Arial"/>
                <w:b/>
                <w:sz w:val="22"/>
                <w:szCs w:val="22"/>
              </w:rPr>
              <w:t>Data Request</w:t>
            </w:r>
          </w:p>
        </w:tc>
        <w:tc>
          <w:tcPr>
            <w:tcW w:w="990" w:type="dxa"/>
            <w:shd w:val="clear" w:color="auto" w:fill="auto"/>
            <w:tcMar>
              <w:left w:w="58" w:type="dxa"/>
              <w:right w:w="58" w:type="dxa"/>
            </w:tcMar>
            <w:vAlign w:val="center"/>
          </w:tcPr>
          <w:p w14:paraId="572A3586" w14:textId="77777777" w:rsidR="008529AF" w:rsidRDefault="008529AF">
            <w:pPr>
              <w:keepLines/>
              <w:tabs>
                <w:tab w:val="left" w:pos="810"/>
              </w:tabs>
              <w:spacing w:before="40" w:after="40"/>
              <w:ind w:left="-54"/>
              <w:jc w:val="center"/>
              <w:rPr>
                <w:rFonts w:ascii="Arial" w:eastAsia="Arial" w:hAnsi="Arial" w:cs="Arial"/>
                <w:sz w:val="20"/>
                <w:szCs w:val="20"/>
              </w:rPr>
            </w:pPr>
            <w:r>
              <w:rPr>
                <w:rFonts w:ascii="Arial" w:eastAsia="Arial" w:hAnsi="Arial" w:cs="Arial"/>
                <w:b/>
                <w:sz w:val="18"/>
                <w:szCs w:val="18"/>
              </w:rPr>
              <w:t>Request Date</w:t>
            </w:r>
          </w:p>
        </w:tc>
        <w:tc>
          <w:tcPr>
            <w:tcW w:w="990" w:type="dxa"/>
            <w:shd w:val="clear" w:color="auto" w:fill="auto"/>
            <w:vAlign w:val="center"/>
          </w:tcPr>
          <w:p w14:paraId="09542721" w14:textId="77777777" w:rsidR="008529AF" w:rsidRDefault="008529AF">
            <w:pPr>
              <w:keepLines/>
              <w:tabs>
                <w:tab w:val="left" w:pos="810"/>
              </w:tabs>
              <w:spacing w:before="40" w:after="40"/>
              <w:jc w:val="center"/>
              <w:rPr>
                <w:rFonts w:ascii="Arial" w:eastAsia="Arial" w:hAnsi="Arial" w:cs="Arial"/>
                <w:sz w:val="18"/>
                <w:szCs w:val="18"/>
              </w:rPr>
            </w:pPr>
            <w:r>
              <w:rPr>
                <w:rFonts w:ascii="Arial" w:eastAsia="Arial" w:hAnsi="Arial" w:cs="Arial"/>
                <w:b/>
                <w:sz w:val="18"/>
                <w:szCs w:val="18"/>
              </w:rPr>
              <w:t>Reply Date</w:t>
            </w:r>
          </w:p>
        </w:tc>
        <w:tc>
          <w:tcPr>
            <w:tcW w:w="990" w:type="dxa"/>
            <w:shd w:val="clear" w:color="auto" w:fill="auto"/>
            <w:vAlign w:val="center"/>
          </w:tcPr>
          <w:p w14:paraId="7C6DE178" w14:textId="77777777" w:rsidR="008529AF" w:rsidRDefault="008529AF">
            <w:pPr>
              <w:keepLines/>
              <w:spacing w:before="40" w:after="40"/>
              <w:jc w:val="center"/>
              <w:rPr>
                <w:rFonts w:ascii="Arial" w:eastAsia="Arial" w:hAnsi="Arial" w:cs="Arial"/>
                <w:sz w:val="18"/>
                <w:szCs w:val="18"/>
              </w:rPr>
            </w:pPr>
            <w:r>
              <w:rPr>
                <w:rFonts w:ascii="Arial" w:eastAsia="Arial" w:hAnsi="Arial" w:cs="Arial"/>
                <w:b/>
                <w:sz w:val="18"/>
                <w:szCs w:val="18"/>
              </w:rPr>
              <w:t>Status</w:t>
            </w:r>
          </w:p>
        </w:tc>
        <w:tc>
          <w:tcPr>
            <w:tcW w:w="2430" w:type="dxa"/>
            <w:shd w:val="clear" w:color="auto" w:fill="auto"/>
            <w:vAlign w:val="center"/>
          </w:tcPr>
          <w:p w14:paraId="1E6FB98C" w14:textId="77777777" w:rsidR="008529AF" w:rsidRDefault="008529AF">
            <w:pPr>
              <w:keepLines/>
              <w:spacing w:before="40" w:after="40"/>
              <w:jc w:val="center"/>
              <w:rPr>
                <w:rFonts w:ascii="Arial" w:eastAsia="Arial" w:hAnsi="Arial" w:cs="Arial"/>
                <w:sz w:val="22"/>
                <w:szCs w:val="22"/>
              </w:rPr>
            </w:pPr>
            <w:r>
              <w:rPr>
                <w:rFonts w:ascii="Arial" w:eastAsia="Arial" w:hAnsi="Arial" w:cs="Arial"/>
                <w:b/>
                <w:sz w:val="22"/>
                <w:szCs w:val="22"/>
              </w:rPr>
              <w:t>Follow-Up Request</w:t>
            </w:r>
          </w:p>
        </w:tc>
      </w:tr>
      <w:tr w:rsidR="0075340D" w14:paraId="37E22A40" w14:textId="77777777" w:rsidTr="00593322">
        <w:tc>
          <w:tcPr>
            <w:tcW w:w="720" w:type="dxa"/>
            <w:shd w:val="clear" w:color="auto" w:fill="auto"/>
            <w:tcMar>
              <w:left w:w="58" w:type="dxa"/>
              <w:right w:w="58" w:type="dxa"/>
            </w:tcMar>
          </w:tcPr>
          <w:p w14:paraId="4E9D4867" w14:textId="7339EB12" w:rsidR="0075340D" w:rsidRDefault="0075340D" w:rsidP="0075340D">
            <w:pPr>
              <w:keepLines/>
              <w:spacing w:before="40" w:after="40"/>
              <w:jc w:val="center"/>
              <w:rPr>
                <w:rFonts w:ascii="Calibri" w:eastAsia="Calibri" w:hAnsi="Calibri" w:cs="Calibri"/>
                <w:sz w:val="20"/>
                <w:szCs w:val="20"/>
              </w:rPr>
            </w:pPr>
            <w:r>
              <w:rPr>
                <w:rFonts w:ascii="Calibri" w:eastAsia="Calibri" w:hAnsi="Calibri" w:cs="Calibri"/>
                <w:sz w:val="20"/>
                <w:szCs w:val="20"/>
              </w:rPr>
              <w:t>1</w:t>
            </w:r>
          </w:p>
        </w:tc>
        <w:tc>
          <w:tcPr>
            <w:tcW w:w="1890" w:type="dxa"/>
            <w:shd w:val="clear" w:color="auto" w:fill="auto"/>
            <w:tcMar>
              <w:left w:w="43" w:type="dxa"/>
              <w:right w:w="43" w:type="dxa"/>
            </w:tcMar>
          </w:tcPr>
          <w:p w14:paraId="02EF7529" w14:textId="0849424A" w:rsidR="0075340D" w:rsidRPr="00995F23" w:rsidRDefault="00C77801" w:rsidP="0075340D">
            <w:pPr>
              <w:keepLines/>
              <w:spacing w:before="40" w:after="40"/>
              <w:rPr>
                <w:rFonts w:ascii="Calibri" w:eastAsia="Calibri" w:hAnsi="Calibri" w:cs="Calibri"/>
                <w:b/>
                <w:sz w:val="20"/>
                <w:szCs w:val="20"/>
              </w:rPr>
            </w:pPr>
            <w:r>
              <w:rPr>
                <w:rFonts w:ascii="Calibri" w:eastAsia="Calibri" w:hAnsi="Calibri" w:cs="Calibri"/>
                <w:b/>
                <w:sz w:val="20"/>
                <w:szCs w:val="20"/>
              </w:rPr>
              <w:t>D</w:t>
            </w:r>
            <w:r w:rsidR="005E66C7">
              <w:rPr>
                <w:rFonts w:ascii="Calibri" w:eastAsia="Calibri" w:hAnsi="Calibri" w:cs="Calibri"/>
                <w:b/>
                <w:sz w:val="20"/>
                <w:szCs w:val="20"/>
              </w:rPr>
              <w:t xml:space="preserve">istribution </w:t>
            </w:r>
            <w:r>
              <w:rPr>
                <w:rFonts w:ascii="Calibri" w:eastAsia="Calibri" w:hAnsi="Calibri" w:cs="Calibri"/>
                <w:b/>
                <w:sz w:val="20"/>
                <w:szCs w:val="20"/>
              </w:rPr>
              <w:t>P</w:t>
            </w:r>
            <w:r w:rsidR="005E66C7">
              <w:rPr>
                <w:rFonts w:ascii="Calibri" w:eastAsia="Calibri" w:hAnsi="Calibri" w:cs="Calibri"/>
                <w:b/>
                <w:sz w:val="20"/>
                <w:szCs w:val="20"/>
              </w:rPr>
              <w:t xml:space="preserve">lanning </w:t>
            </w:r>
            <w:r>
              <w:rPr>
                <w:rFonts w:ascii="Calibri" w:eastAsia="Calibri" w:hAnsi="Calibri" w:cs="Calibri"/>
                <w:b/>
                <w:sz w:val="20"/>
                <w:szCs w:val="20"/>
              </w:rPr>
              <w:t>A</w:t>
            </w:r>
            <w:r w:rsidR="005E66C7">
              <w:rPr>
                <w:rFonts w:ascii="Calibri" w:eastAsia="Calibri" w:hAnsi="Calibri" w:cs="Calibri"/>
                <w:b/>
                <w:sz w:val="20"/>
                <w:szCs w:val="20"/>
              </w:rPr>
              <w:t>rea (DPA)</w:t>
            </w:r>
            <w:r>
              <w:rPr>
                <w:rFonts w:ascii="Calibri" w:eastAsia="Calibri" w:hAnsi="Calibri" w:cs="Calibri"/>
                <w:b/>
                <w:sz w:val="20"/>
                <w:szCs w:val="20"/>
              </w:rPr>
              <w:t xml:space="preserve"> Load Forecast</w:t>
            </w:r>
            <w:r w:rsidR="00FB4A32">
              <w:rPr>
                <w:rFonts w:ascii="Calibri" w:eastAsia="Calibri" w:hAnsi="Calibri" w:cs="Calibri"/>
                <w:b/>
                <w:sz w:val="20"/>
                <w:szCs w:val="20"/>
              </w:rPr>
              <w:t xml:space="preserve"> and Outstanding PG&amp;E Planning Standards</w:t>
            </w:r>
          </w:p>
        </w:tc>
        <w:tc>
          <w:tcPr>
            <w:tcW w:w="6390" w:type="dxa"/>
            <w:shd w:val="clear" w:color="auto" w:fill="auto"/>
            <w:tcMar>
              <w:left w:w="58" w:type="dxa"/>
              <w:right w:w="43" w:type="dxa"/>
            </w:tcMar>
          </w:tcPr>
          <w:p w14:paraId="50782B9D" w14:textId="260B12EE" w:rsidR="00C77801" w:rsidRPr="00796902" w:rsidRDefault="00C77801" w:rsidP="00163EE0">
            <w:pPr>
              <w:pStyle w:val="ListParagraph"/>
              <w:numPr>
                <w:ilvl w:val="0"/>
                <w:numId w:val="20"/>
              </w:numPr>
              <w:spacing w:before="40" w:after="40"/>
              <w:ind w:left="392"/>
              <w:contextualSpacing w:val="0"/>
              <w:rPr>
                <w:color w:val="000000" w:themeColor="text1"/>
                <w:sz w:val="22"/>
              </w:rPr>
            </w:pPr>
            <w:r w:rsidRPr="00796902">
              <w:rPr>
                <w:color w:val="000000" w:themeColor="text1"/>
                <w:sz w:val="22"/>
              </w:rPr>
              <w:t xml:space="preserve">Provide an updated load forecast for the </w:t>
            </w:r>
            <w:r w:rsidR="005E66C7">
              <w:rPr>
                <w:color w:val="000000" w:themeColor="text1"/>
                <w:sz w:val="22"/>
              </w:rPr>
              <w:t>Paso Robles</w:t>
            </w:r>
            <w:r w:rsidR="005E66C7" w:rsidRPr="00796902">
              <w:rPr>
                <w:color w:val="000000" w:themeColor="text1"/>
                <w:sz w:val="22"/>
              </w:rPr>
              <w:t xml:space="preserve"> </w:t>
            </w:r>
            <w:r w:rsidRPr="00796902">
              <w:rPr>
                <w:color w:val="000000" w:themeColor="text1"/>
                <w:sz w:val="22"/>
              </w:rPr>
              <w:t>DPA and update Appendix G to the P</w:t>
            </w:r>
            <w:r w:rsidR="00F962B7" w:rsidRPr="00796902">
              <w:rPr>
                <w:color w:val="000000" w:themeColor="text1"/>
                <w:sz w:val="22"/>
              </w:rPr>
              <w:t xml:space="preserve">roponent’s </w:t>
            </w:r>
            <w:r w:rsidRPr="00796902">
              <w:rPr>
                <w:color w:val="000000" w:themeColor="text1"/>
                <w:sz w:val="22"/>
              </w:rPr>
              <w:t>E</w:t>
            </w:r>
            <w:r w:rsidR="00F962B7" w:rsidRPr="00796902">
              <w:rPr>
                <w:color w:val="000000" w:themeColor="text1"/>
                <w:sz w:val="22"/>
              </w:rPr>
              <w:t>nvironmental Assessment (PE</w:t>
            </w:r>
            <w:r w:rsidRPr="00796902">
              <w:rPr>
                <w:color w:val="000000" w:themeColor="text1"/>
                <w:sz w:val="22"/>
              </w:rPr>
              <w:t>A</w:t>
            </w:r>
            <w:r w:rsidR="00F962B7" w:rsidRPr="00796902">
              <w:rPr>
                <w:color w:val="000000" w:themeColor="text1"/>
                <w:sz w:val="22"/>
              </w:rPr>
              <w:t>)</w:t>
            </w:r>
            <w:r w:rsidR="00A058F5" w:rsidRPr="00796902">
              <w:rPr>
                <w:color w:val="000000" w:themeColor="text1"/>
                <w:sz w:val="22"/>
              </w:rPr>
              <w:t>,</w:t>
            </w:r>
            <w:r w:rsidRPr="00796902">
              <w:rPr>
                <w:color w:val="000000" w:themeColor="text1"/>
                <w:sz w:val="22"/>
              </w:rPr>
              <w:t xml:space="preserve"> as appropriate. At minimum, the following Appendix G tables and figures </w:t>
            </w:r>
            <w:r w:rsidRPr="002703A8">
              <w:rPr>
                <w:color w:val="000000" w:themeColor="text1"/>
                <w:sz w:val="22"/>
              </w:rPr>
              <w:t xml:space="preserve">should be updated based on the 2018 recorded peak load and latest available </w:t>
            </w:r>
            <w:r w:rsidR="00F962B7" w:rsidRPr="002703A8">
              <w:rPr>
                <w:color w:val="000000" w:themeColor="text1"/>
                <w:sz w:val="22"/>
              </w:rPr>
              <w:t>Integrated Energy Policy Report (</w:t>
            </w:r>
            <w:r w:rsidRPr="002703A8">
              <w:rPr>
                <w:color w:val="000000" w:themeColor="text1"/>
                <w:sz w:val="22"/>
              </w:rPr>
              <w:t>IEPR</w:t>
            </w:r>
            <w:r w:rsidR="00F962B7" w:rsidRPr="002703A8">
              <w:rPr>
                <w:color w:val="000000" w:themeColor="text1"/>
                <w:sz w:val="22"/>
              </w:rPr>
              <w:t>)</w:t>
            </w:r>
            <w:r w:rsidRPr="002703A8">
              <w:rPr>
                <w:color w:val="000000" w:themeColor="text1"/>
                <w:sz w:val="22"/>
              </w:rPr>
              <w:t xml:space="preserve"> data:</w:t>
            </w:r>
          </w:p>
          <w:p w14:paraId="2D2E18C0" w14:textId="77777777" w:rsidR="00C77801" w:rsidRPr="00796902" w:rsidRDefault="00C77801" w:rsidP="00163EE0">
            <w:pPr>
              <w:numPr>
                <w:ilvl w:val="0"/>
                <w:numId w:val="18"/>
              </w:numPr>
              <w:ind w:left="1112"/>
              <w:rPr>
                <w:color w:val="000000" w:themeColor="text1"/>
                <w:sz w:val="22"/>
              </w:rPr>
            </w:pPr>
            <w:r w:rsidRPr="00796902">
              <w:rPr>
                <w:color w:val="000000" w:themeColor="text1"/>
                <w:sz w:val="22"/>
              </w:rPr>
              <w:t>Table 2. Historical Paso Robles DPA Capacity and Load</w:t>
            </w:r>
          </w:p>
          <w:p w14:paraId="5C785B1C" w14:textId="77777777" w:rsidR="00C77801" w:rsidRPr="00796902" w:rsidRDefault="00C77801" w:rsidP="00163EE0">
            <w:pPr>
              <w:numPr>
                <w:ilvl w:val="0"/>
                <w:numId w:val="18"/>
              </w:numPr>
              <w:ind w:left="1112"/>
              <w:rPr>
                <w:color w:val="000000" w:themeColor="text1"/>
                <w:sz w:val="22"/>
              </w:rPr>
            </w:pPr>
            <w:r w:rsidRPr="00796902">
              <w:rPr>
                <w:color w:val="000000" w:themeColor="text1"/>
                <w:sz w:val="22"/>
              </w:rPr>
              <w:t>Figure 5. Updated LoadSEER Forecast, Paso Robles DPA</w:t>
            </w:r>
          </w:p>
          <w:p w14:paraId="104C2774" w14:textId="77777777" w:rsidR="00C77801" w:rsidRPr="00796902" w:rsidRDefault="00C77801">
            <w:pPr>
              <w:numPr>
                <w:ilvl w:val="0"/>
                <w:numId w:val="18"/>
              </w:numPr>
              <w:ind w:left="1112"/>
              <w:rPr>
                <w:color w:val="000000" w:themeColor="text1"/>
                <w:sz w:val="22"/>
              </w:rPr>
            </w:pPr>
            <w:r w:rsidRPr="00796902">
              <w:rPr>
                <w:color w:val="000000" w:themeColor="text1"/>
                <w:sz w:val="22"/>
              </w:rPr>
              <w:t>Table 3. Breakdown of Updated LoadSEER Forecast</w:t>
            </w:r>
          </w:p>
          <w:p w14:paraId="54923E4B" w14:textId="77777777" w:rsidR="00C77801" w:rsidRPr="00796902" w:rsidRDefault="00C77801">
            <w:pPr>
              <w:numPr>
                <w:ilvl w:val="0"/>
                <w:numId w:val="18"/>
              </w:numPr>
              <w:ind w:left="1112"/>
              <w:rPr>
                <w:color w:val="000000" w:themeColor="text1"/>
                <w:sz w:val="22"/>
              </w:rPr>
            </w:pPr>
            <w:r w:rsidRPr="00796902">
              <w:rPr>
                <w:color w:val="000000" w:themeColor="text1"/>
                <w:sz w:val="22"/>
              </w:rPr>
              <w:t>Table 4. Breakdown of Substation Capacities and Forecasted Loads, Paso Robles DPA</w:t>
            </w:r>
          </w:p>
          <w:p w14:paraId="096CA315" w14:textId="77777777" w:rsidR="00C77801" w:rsidRPr="00796902" w:rsidRDefault="00C77801">
            <w:pPr>
              <w:numPr>
                <w:ilvl w:val="0"/>
                <w:numId w:val="18"/>
              </w:numPr>
              <w:ind w:left="1112"/>
              <w:rPr>
                <w:color w:val="000000" w:themeColor="text1"/>
                <w:sz w:val="22"/>
              </w:rPr>
            </w:pPr>
            <w:r w:rsidRPr="00796902">
              <w:rPr>
                <w:color w:val="000000" w:themeColor="text1"/>
                <w:sz w:val="22"/>
              </w:rPr>
              <w:t>Figure 6. Comparison of LoadSEER Forecasts, Paso Robles DPA</w:t>
            </w:r>
          </w:p>
          <w:p w14:paraId="13BC464A" w14:textId="77777777" w:rsidR="0075340D" w:rsidRPr="00796902" w:rsidRDefault="00C77801">
            <w:pPr>
              <w:numPr>
                <w:ilvl w:val="0"/>
                <w:numId w:val="18"/>
              </w:numPr>
              <w:spacing w:after="40"/>
              <w:ind w:left="1112"/>
              <w:rPr>
                <w:color w:val="000000" w:themeColor="text1"/>
                <w:sz w:val="22"/>
              </w:rPr>
            </w:pPr>
            <w:r w:rsidRPr="00796902">
              <w:rPr>
                <w:color w:val="000000" w:themeColor="text1"/>
                <w:sz w:val="22"/>
              </w:rPr>
              <w:t>Table 5. Previous 1-in-10 LoadSEER Forecast Incorporating Varying Percentages of the DER Forecast</w:t>
            </w:r>
          </w:p>
          <w:p w14:paraId="6FE71474" w14:textId="77777777" w:rsidR="001A2133" w:rsidRPr="006F21FB" w:rsidRDefault="001A2133" w:rsidP="001A2133">
            <w:pPr>
              <w:pStyle w:val="ListParagraph"/>
              <w:numPr>
                <w:ilvl w:val="0"/>
                <w:numId w:val="20"/>
              </w:numPr>
              <w:spacing w:after="40"/>
              <w:ind w:left="392"/>
              <w:contextualSpacing w:val="0"/>
              <w:rPr>
                <w:sz w:val="22"/>
              </w:rPr>
            </w:pPr>
            <w:r w:rsidRPr="006F21FB">
              <w:rPr>
                <w:sz w:val="22"/>
              </w:rPr>
              <w:t>Refer to the attached slides from a presentation on the Southern California Edison (SCE) Circle City project (in particular, Slide #3). Discuss PG&amp;E’s assumptions about photovoltaic (PV) electric generation dependability in the DPA and the types and extent of disaggregated data that Pacific Gas &amp; Electric Company (PG&amp;E) applied to the updated forecast data provided in response to #1 above.</w:t>
            </w:r>
          </w:p>
          <w:p w14:paraId="42C61B04" w14:textId="77777777" w:rsidR="009508BB" w:rsidRPr="00E55A03" w:rsidRDefault="001A2133" w:rsidP="001A2133">
            <w:pPr>
              <w:pStyle w:val="ListParagraph"/>
              <w:numPr>
                <w:ilvl w:val="0"/>
                <w:numId w:val="20"/>
              </w:numPr>
              <w:spacing w:after="40"/>
              <w:ind w:left="392"/>
              <w:contextualSpacing w:val="0"/>
              <w:rPr>
                <w:color w:val="000000" w:themeColor="text1"/>
                <w:sz w:val="22"/>
              </w:rPr>
            </w:pPr>
            <w:r w:rsidRPr="006F21FB">
              <w:rPr>
                <w:sz w:val="22"/>
              </w:rPr>
              <w:t>Discuss the current capabilities of LoadSEER or any alternate software used to provide the forecast update pursuant to #1 above. For example, can LoadSEER incorporate a full 8760 dataset? 15-minute interval data? Provide the full list of LoadSEER capabilities and inputs used for the updated forecast.</w:t>
            </w:r>
          </w:p>
          <w:p w14:paraId="58906AF0" w14:textId="47CC612B" w:rsidR="00FB4A32" w:rsidRDefault="00E55A03" w:rsidP="001A2133">
            <w:pPr>
              <w:pStyle w:val="ListParagraph"/>
              <w:numPr>
                <w:ilvl w:val="0"/>
                <w:numId w:val="20"/>
              </w:numPr>
              <w:spacing w:after="40"/>
              <w:ind w:left="392"/>
              <w:contextualSpacing w:val="0"/>
              <w:rPr>
                <w:color w:val="000000" w:themeColor="text1"/>
                <w:sz w:val="22"/>
              </w:rPr>
            </w:pPr>
            <w:r>
              <w:rPr>
                <w:sz w:val="22"/>
              </w:rPr>
              <w:t xml:space="preserve">Please provide the two planning standards referenced in </w:t>
            </w:r>
            <w:r w:rsidRPr="00796902">
              <w:rPr>
                <w:color w:val="000000" w:themeColor="text1"/>
                <w:sz w:val="22"/>
              </w:rPr>
              <w:t>Appendix G</w:t>
            </w:r>
            <w:r>
              <w:rPr>
                <w:color w:val="000000" w:themeColor="text1"/>
                <w:sz w:val="22"/>
              </w:rPr>
              <w:t xml:space="preserve"> to the PEA (Exhibit B and Exhibit C were still being revised at that time)</w:t>
            </w:r>
            <w:r w:rsidR="00FB4A32">
              <w:rPr>
                <w:color w:val="000000" w:themeColor="text1"/>
                <w:sz w:val="22"/>
              </w:rPr>
              <w:t xml:space="preserve"> and include all </w:t>
            </w:r>
            <w:r w:rsidR="00FB4A32">
              <w:rPr>
                <w:color w:val="000000" w:themeColor="text1"/>
                <w:sz w:val="22"/>
              </w:rPr>
              <w:t>appendices to the two standards</w:t>
            </w:r>
            <w:r>
              <w:rPr>
                <w:color w:val="000000" w:themeColor="text1"/>
                <w:sz w:val="22"/>
              </w:rPr>
              <w:t xml:space="preserve">. If </w:t>
            </w:r>
            <w:r w:rsidR="00FB4A32">
              <w:rPr>
                <w:color w:val="000000" w:themeColor="text1"/>
                <w:sz w:val="22"/>
              </w:rPr>
              <w:t>the standards are still being revised</w:t>
            </w:r>
            <w:r>
              <w:rPr>
                <w:color w:val="000000" w:themeColor="text1"/>
                <w:sz w:val="22"/>
              </w:rPr>
              <w:t>, please let us know when they will be done, and explain why they are still being updated.</w:t>
            </w:r>
            <w:r w:rsidR="00FB4A32">
              <w:rPr>
                <w:color w:val="000000" w:themeColor="text1"/>
                <w:sz w:val="22"/>
              </w:rPr>
              <w:t xml:space="preserve"> </w:t>
            </w:r>
          </w:p>
          <w:p w14:paraId="376E52ED" w14:textId="70D9B7A0" w:rsidR="00E55A03" w:rsidRPr="00796902" w:rsidRDefault="00FB4A32" w:rsidP="001A2133">
            <w:pPr>
              <w:pStyle w:val="ListParagraph"/>
              <w:numPr>
                <w:ilvl w:val="0"/>
                <w:numId w:val="20"/>
              </w:numPr>
              <w:spacing w:after="40"/>
              <w:ind w:left="392"/>
              <w:contextualSpacing w:val="0"/>
              <w:rPr>
                <w:color w:val="000000" w:themeColor="text1"/>
                <w:sz w:val="22"/>
              </w:rPr>
            </w:pPr>
            <w:r>
              <w:rPr>
                <w:sz w:val="22"/>
              </w:rPr>
              <w:t>Please provide the</w:t>
            </w:r>
            <w:r>
              <w:rPr>
                <w:sz w:val="22"/>
              </w:rPr>
              <w:t xml:space="preserve"> prior versions of the</w:t>
            </w:r>
            <w:r>
              <w:rPr>
                <w:sz w:val="22"/>
              </w:rPr>
              <w:t xml:space="preserve"> two planning standards referenced in </w:t>
            </w:r>
            <w:r w:rsidRPr="00796902">
              <w:rPr>
                <w:color w:val="000000" w:themeColor="text1"/>
                <w:sz w:val="22"/>
              </w:rPr>
              <w:t>Appendix G</w:t>
            </w:r>
            <w:r>
              <w:rPr>
                <w:color w:val="000000" w:themeColor="text1"/>
                <w:sz w:val="22"/>
              </w:rPr>
              <w:t xml:space="preserve"> to the PEA</w:t>
            </w:r>
            <w:r>
              <w:rPr>
                <w:color w:val="000000" w:themeColor="text1"/>
                <w:sz w:val="22"/>
              </w:rPr>
              <w:t xml:space="preserve"> (Exhibit B 2014 and Exhibit C 2010). Include all appendices to the two prior standards.</w:t>
            </w:r>
          </w:p>
        </w:tc>
        <w:tc>
          <w:tcPr>
            <w:tcW w:w="990" w:type="dxa"/>
            <w:shd w:val="clear" w:color="auto" w:fill="auto"/>
            <w:tcMar>
              <w:left w:w="58" w:type="dxa"/>
              <w:right w:w="58" w:type="dxa"/>
            </w:tcMar>
          </w:tcPr>
          <w:p w14:paraId="1E702E4F" w14:textId="6A683966" w:rsidR="0075340D" w:rsidRPr="00AF3856" w:rsidRDefault="009508BB" w:rsidP="0075340D">
            <w:pPr>
              <w:keepLines/>
              <w:spacing w:before="40" w:after="40"/>
              <w:jc w:val="center"/>
              <w:rPr>
                <w:rFonts w:ascii="Calibri" w:eastAsia="Calibri" w:hAnsi="Calibri" w:cs="Calibri"/>
                <w:sz w:val="20"/>
                <w:szCs w:val="20"/>
                <w:highlight w:val="yellow"/>
              </w:rPr>
            </w:pPr>
            <w:r>
              <w:rPr>
                <w:rFonts w:ascii="Calibri" w:eastAsia="Calibri" w:hAnsi="Calibri" w:cs="Calibri"/>
                <w:sz w:val="20"/>
                <w:szCs w:val="20"/>
              </w:rPr>
              <w:t>6/</w:t>
            </w:r>
            <w:r w:rsidR="00A43170">
              <w:rPr>
                <w:rFonts w:ascii="Calibri" w:eastAsia="Calibri" w:hAnsi="Calibri" w:cs="Calibri"/>
                <w:sz w:val="20"/>
                <w:szCs w:val="20"/>
              </w:rPr>
              <w:t>27</w:t>
            </w:r>
            <w:r>
              <w:rPr>
                <w:rFonts w:ascii="Calibri" w:eastAsia="Calibri" w:hAnsi="Calibri" w:cs="Calibri"/>
                <w:sz w:val="20"/>
                <w:szCs w:val="20"/>
              </w:rPr>
              <w:t>/19</w:t>
            </w:r>
          </w:p>
        </w:tc>
        <w:tc>
          <w:tcPr>
            <w:tcW w:w="990" w:type="dxa"/>
            <w:shd w:val="clear" w:color="auto" w:fill="auto"/>
            <w:tcMar>
              <w:left w:w="58" w:type="dxa"/>
              <w:right w:w="58" w:type="dxa"/>
            </w:tcMar>
          </w:tcPr>
          <w:p w14:paraId="50AD5FDE" w14:textId="77777777" w:rsidR="0075340D" w:rsidRDefault="0075340D" w:rsidP="0075340D">
            <w:pPr>
              <w:keepLines/>
              <w:spacing w:before="40" w:after="40"/>
              <w:rPr>
                <w:rFonts w:ascii="Calibri" w:eastAsia="Calibri" w:hAnsi="Calibri" w:cs="Calibri"/>
                <w:sz w:val="20"/>
                <w:szCs w:val="20"/>
              </w:rPr>
            </w:pPr>
          </w:p>
        </w:tc>
        <w:tc>
          <w:tcPr>
            <w:tcW w:w="990" w:type="dxa"/>
            <w:shd w:val="clear" w:color="auto" w:fill="auto"/>
            <w:tcMar>
              <w:left w:w="43" w:type="dxa"/>
              <w:right w:w="14" w:type="dxa"/>
            </w:tcMar>
          </w:tcPr>
          <w:p w14:paraId="2643B951" w14:textId="77777777" w:rsidR="0075340D" w:rsidRDefault="0075340D" w:rsidP="0075340D">
            <w:pPr>
              <w:keepLines/>
              <w:spacing w:before="40" w:after="40"/>
              <w:ind w:left="-36" w:right="-27"/>
              <w:rPr>
                <w:rFonts w:ascii="Calibri" w:eastAsia="Calibri" w:hAnsi="Calibri" w:cs="Calibri"/>
                <w:sz w:val="20"/>
                <w:szCs w:val="20"/>
              </w:rPr>
            </w:pPr>
          </w:p>
        </w:tc>
        <w:tc>
          <w:tcPr>
            <w:tcW w:w="2430" w:type="dxa"/>
            <w:shd w:val="clear" w:color="auto" w:fill="auto"/>
          </w:tcPr>
          <w:p w14:paraId="0F2920F6" w14:textId="77777777" w:rsidR="0075340D" w:rsidRDefault="0075340D" w:rsidP="0075340D">
            <w:pPr>
              <w:keepLines/>
              <w:spacing w:before="40" w:after="40"/>
              <w:rPr>
                <w:rFonts w:ascii="Calibri" w:eastAsia="Calibri" w:hAnsi="Calibri" w:cs="Calibri"/>
                <w:sz w:val="20"/>
                <w:szCs w:val="20"/>
              </w:rPr>
            </w:pPr>
          </w:p>
        </w:tc>
      </w:tr>
      <w:tr w:rsidR="00A43170" w14:paraId="4188ABAC" w14:textId="77777777" w:rsidTr="00593322">
        <w:tc>
          <w:tcPr>
            <w:tcW w:w="720" w:type="dxa"/>
            <w:shd w:val="clear" w:color="auto" w:fill="auto"/>
            <w:tcMar>
              <w:left w:w="58" w:type="dxa"/>
              <w:right w:w="58" w:type="dxa"/>
            </w:tcMar>
          </w:tcPr>
          <w:p w14:paraId="0393968F" w14:textId="36719BF4" w:rsidR="00A43170" w:rsidRDefault="00A43170" w:rsidP="00A43170">
            <w:pPr>
              <w:spacing w:before="40" w:after="40"/>
              <w:jc w:val="center"/>
              <w:rPr>
                <w:rFonts w:ascii="Calibri" w:eastAsia="Calibri" w:hAnsi="Calibri" w:cs="Calibri"/>
                <w:sz w:val="20"/>
                <w:szCs w:val="20"/>
              </w:rPr>
            </w:pPr>
            <w:r>
              <w:rPr>
                <w:rFonts w:ascii="Calibri" w:eastAsia="Calibri" w:hAnsi="Calibri" w:cs="Calibri"/>
                <w:sz w:val="20"/>
                <w:szCs w:val="20"/>
              </w:rPr>
              <w:lastRenderedPageBreak/>
              <w:t>2</w:t>
            </w:r>
          </w:p>
          <w:p w14:paraId="5003A9EA" w14:textId="77777777" w:rsidR="00A43170" w:rsidRPr="008529AF" w:rsidRDefault="00A43170" w:rsidP="00A43170">
            <w:pPr>
              <w:rPr>
                <w:rFonts w:ascii="Calibri" w:eastAsia="Calibri" w:hAnsi="Calibri" w:cs="Calibri"/>
                <w:sz w:val="20"/>
                <w:szCs w:val="20"/>
              </w:rPr>
            </w:pPr>
          </w:p>
        </w:tc>
        <w:tc>
          <w:tcPr>
            <w:tcW w:w="1890" w:type="dxa"/>
            <w:shd w:val="clear" w:color="auto" w:fill="auto"/>
            <w:tcMar>
              <w:left w:w="43" w:type="dxa"/>
              <w:right w:w="43" w:type="dxa"/>
            </w:tcMar>
          </w:tcPr>
          <w:p w14:paraId="379A582A" w14:textId="3F78C34C" w:rsidR="00A43170" w:rsidRPr="00995F23" w:rsidRDefault="00A43170" w:rsidP="00A43170">
            <w:pPr>
              <w:spacing w:before="40" w:after="40"/>
              <w:rPr>
                <w:rFonts w:ascii="Calibri" w:eastAsia="Calibri" w:hAnsi="Calibri" w:cs="Calibri"/>
                <w:b/>
                <w:sz w:val="20"/>
                <w:szCs w:val="20"/>
              </w:rPr>
            </w:pPr>
            <w:r>
              <w:rPr>
                <w:rFonts w:ascii="Calibri" w:eastAsia="Calibri" w:hAnsi="Calibri" w:cs="Calibri"/>
                <w:b/>
                <w:sz w:val="20"/>
                <w:szCs w:val="20"/>
              </w:rPr>
              <w:t>Battery Energy Storage System (BESS) Sizing Options and Sites</w:t>
            </w:r>
          </w:p>
        </w:tc>
        <w:tc>
          <w:tcPr>
            <w:tcW w:w="6390" w:type="dxa"/>
            <w:shd w:val="clear" w:color="auto" w:fill="auto"/>
            <w:tcMar>
              <w:left w:w="58" w:type="dxa"/>
              <w:right w:w="43" w:type="dxa"/>
            </w:tcMar>
          </w:tcPr>
          <w:p w14:paraId="560FE31F" w14:textId="0DC3CA4C" w:rsidR="00A43170" w:rsidRPr="00796902" w:rsidRDefault="00A43170" w:rsidP="00A43170">
            <w:pPr>
              <w:pStyle w:val="ListParagraph"/>
              <w:numPr>
                <w:ilvl w:val="0"/>
                <w:numId w:val="21"/>
              </w:numPr>
              <w:spacing w:before="40" w:after="40"/>
              <w:ind w:left="392"/>
              <w:contextualSpacing w:val="0"/>
              <w:rPr>
                <w:color w:val="000000" w:themeColor="text1"/>
                <w:sz w:val="22"/>
              </w:rPr>
            </w:pPr>
            <w:r w:rsidRPr="00796902">
              <w:rPr>
                <w:color w:val="000000" w:themeColor="text1"/>
                <w:sz w:val="22"/>
              </w:rPr>
              <w:t>The City of Paso Robles plans to construct a 4.3 Megawatt (MW) solar field adjacent to Paso Robles Airport. This solar project is noted in Appendix G to the PEA. Please describe any system upgrades that will be necessary to allow for interconnection of this solar array to PG&amp;E’s grid system.</w:t>
            </w:r>
          </w:p>
          <w:p w14:paraId="70721725" w14:textId="77777777" w:rsidR="00A43170" w:rsidRDefault="00A43170" w:rsidP="00A43170">
            <w:pPr>
              <w:pStyle w:val="ListParagraph"/>
              <w:numPr>
                <w:ilvl w:val="0"/>
                <w:numId w:val="21"/>
              </w:numPr>
              <w:spacing w:before="40" w:after="40"/>
              <w:ind w:left="392"/>
              <w:contextualSpacing w:val="0"/>
              <w:rPr>
                <w:color w:val="000000" w:themeColor="text1"/>
                <w:sz w:val="22"/>
              </w:rPr>
            </w:pPr>
            <w:r w:rsidRPr="00796902">
              <w:rPr>
                <w:color w:val="000000" w:themeColor="text1"/>
                <w:sz w:val="22"/>
              </w:rPr>
              <w:t>If a battery energy storage system (BESS) were installed adjacent to the 4.3 MW solar field, how large could its power output be in MW based on the interconnection upgrades described in response to #</w:t>
            </w:r>
            <w:r>
              <w:rPr>
                <w:color w:val="000000" w:themeColor="text1"/>
                <w:sz w:val="22"/>
              </w:rPr>
              <w:t>2</w:t>
            </w:r>
            <w:r w:rsidRPr="00796902">
              <w:rPr>
                <w:color w:val="000000" w:themeColor="text1"/>
                <w:sz w:val="22"/>
              </w:rPr>
              <w:t>, above?</w:t>
            </w:r>
            <w:r>
              <w:rPr>
                <w:color w:val="000000" w:themeColor="text1"/>
                <w:sz w:val="22"/>
              </w:rPr>
              <w:t xml:space="preserve"> </w:t>
            </w:r>
          </w:p>
          <w:p w14:paraId="4B2A9232" w14:textId="312E70FB" w:rsidR="00A43170" w:rsidRPr="00796902" w:rsidRDefault="00A43170" w:rsidP="00A43170">
            <w:pPr>
              <w:pStyle w:val="ListParagraph"/>
              <w:numPr>
                <w:ilvl w:val="0"/>
                <w:numId w:val="21"/>
              </w:numPr>
              <w:spacing w:before="40" w:after="40"/>
              <w:ind w:left="392"/>
              <w:contextualSpacing w:val="0"/>
              <w:rPr>
                <w:color w:val="000000" w:themeColor="text1"/>
                <w:sz w:val="22"/>
              </w:rPr>
            </w:pPr>
            <w:r w:rsidRPr="00796902">
              <w:rPr>
                <w:color w:val="000000" w:themeColor="text1"/>
                <w:sz w:val="22"/>
              </w:rPr>
              <w:t xml:space="preserve">In PEA Appendix G, PG&amp;E suggested that a BESS sited adjacent to a solar generation site should be sized to match the solar output of the arrays unless utility power is used to supplement the charging cycle. In </w:t>
            </w:r>
            <w:r>
              <w:rPr>
                <w:color w:val="000000" w:themeColor="text1"/>
                <w:sz w:val="22"/>
              </w:rPr>
              <w:t xml:space="preserve">what amounts could </w:t>
            </w:r>
            <w:r w:rsidRPr="00796902">
              <w:rPr>
                <w:color w:val="000000" w:themeColor="text1"/>
                <w:sz w:val="22"/>
              </w:rPr>
              <w:t>utility power be used to supplement the charging cycle?</w:t>
            </w:r>
          </w:p>
          <w:p w14:paraId="3EDE3274" w14:textId="1EEC89ED" w:rsidR="00A43170" w:rsidRPr="00796902" w:rsidRDefault="00A43170" w:rsidP="00A43170">
            <w:pPr>
              <w:pStyle w:val="ListParagraph"/>
              <w:numPr>
                <w:ilvl w:val="0"/>
                <w:numId w:val="21"/>
              </w:numPr>
              <w:spacing w:before="40" w:after="40"/>
              <w:ind w:left="392"/>
              <w:contextualSpacing w:val="0"/>
              <w:rPr>
                <w:color w:val="000000" w:themeColor="text1"/>
                <w:sz w:val="22"/>
              </w:rPr>
            </w:pPr>
            <w:r w:rsidRPr="00796902">
              <w:rPr>
                <w:color w:val="000000" w:themeColor="text1"/>
                <w:sz w:val="22"/>
              </w:rPr>
              <w:t>Given the responses to the data requests above, please update the analysis provided in response to No. Deficiency Appendix G (16) of Deficiency Response #4, which indicated that an 8</w:t>
            </w:r>
            <w:r>
              <w:rPr>
                <w:color w:val="000000" w:themeColor="text1"/>
                <w:sz w:val="22"/>
              </w:rPr>
              <w:t xml:space="preserve"> </w:t>
            </w:r>
            <w:r w:rsidRPr="00796902">
              <w:rPr>
                <w:color w:val="000000" w:themeColor="text1"/>
                <w:sz w:val="22"/>
              </w:rPr>
              <w:t>MW/48</w:t>
            </w:r>
            <w:r>
              <w:rPr>
                <w:color w:val="000000" w:themeColor="text1"/>
                <w:sz w:val="22"/>
              </w:rPr>
              <w:t xml:space="preserve"> Megawatt-hour (</w:t>
            </w:r>
            <w:r w:rsidRPr="00796902">
              <w:rPr>
                <w:color w:val="000000" w:themeColor="text1"/>
                <w:sz w:val="22"/>
              </w:rPr>
              <w:t>MWh</w:t>
            </w:r>
            <w:r>
              <w:rPr>
                <w:color w:val="000000" w:themeColor="text1"/>
                <w:sz w:val="22"/>
              </w:rPr>
              <w:t>)</w:t>
            </w:r>
            <w:r w:rsidRPr="00796902">
              <w:rPr>
                <w:color w:val="000000" w:themeColor="text1"/>
                <w:sz w:val="22"/>
              </w:rPr>
              <w:t xml:space="preserve"> BESS could defer the proposed substation needed by 5 years.</w:t>
            </w:r>
          </w:p>
          <w:p w14:paraId="740F0259" w14:textId="1F848180" w:rsidR="00A43170" w:rsidRPr="00796902" w:rsidRDefault="00A43170" w:rsidP="00A43170">
            <w:pPr>
              <w:pStyle w:val="ListParagraph"/>
              <w:numPr>
                <w:ilvl w:val="0"/>
                <w:numId w:val="21"/>
              </w:numPr>
              <w:spacing w:before="40" w:after="40"/>
              <w:ind w:left="392"/>
              <w:contextualSpacing w:val="0"/>
              <w:rPr>
                <w:color w:val="000000" w:themeColor="text1"/>
                <w:sz w:val="22"/>
              </w:rPr>
            </w:pPr>
            <w:r w:rsidRPr="00796902">
              <w:rPr>
                <w:color w:val="000000" w:themeColor="text1"/>
                <w:sz w:val="22"/>
              </w:rPr>
              <w:t>Provide the location of the 3.7 MW storage field (Queue 1529-RD?) described in the response to No. Deficiency Appendix G (16) of Deficiency Response #4,</w:t>
            </w:r>
            <w:r>
              <w:rPr>
                <w:color w:val="000000" w:themeColor="text1"/>
                <w:sz w:val="22"/>
              </w:rPr>
              <w:t xml:space="preserve"> </w:t>
            </w:r>
            <w:r w:rsidRPr="00796902">
              <w:rPr>
                <w:color w:val="000000" w:themeColor="text1"/>
                <w:sz w:val="22"/>
              </w:rPr>
              <w:t xml:space="preserve">and </w:t>
            </w:r>
            <w:r>
              <w:rPr>
                <w:color w:val="000000" w:themeColor="text1"/>
                <w:sz w:val="22"/>
              </w:rPr>
              <w:t>identify</w:t>
            </w:r>
            <w:r w:rsidRPr="00796902">
              <w:rPr>
                <w:color w:val="000000" w:themeColor="text1"/>
                <w:sz w:val="22"/>
              </w:rPr>
              <w:t xml:space="preserve"> the status of this interconnection</w:t>
            </w:r>
            <w:r>
              <w:rPr>
                <w:color w:val="000000" w:themeColor="text1"/>
                <w:sz w:val="22"/>
              </w:rPr>
              <w:t>.</w:t>
            </w:r>
            <w:r w:rsidRPr="00796902">
              <w:rPr>
                <w:color w:val="000000" w:themeColor="text1"/>
                <w:sz w:val="22"/>
              </w:rPr>
              <w:t xml:space="preserve"> If the interconnection study results indicate failure, explain what system upgrades (at minimum) would be necessary for a successful interconnection.</w:t>
            </w:r>
          </w:p>
          <w:p w14:paraId="0B5F5D1F" w14:textId="3C40B158" w:rsidR="00A43170" w:rsidRPr="0064166E" w:rsidRDefault="00A43170" w:rsidP="00A43170">
            <w:pPr>
              <w:pStyle w:val="ListParagraph"/>
              <w:numPr>
                <w:ilvl w:val="0"/>
                <w:numId w:val="21"/>
              </w:numPr>
              <w:spacing w:before="40" w:after="40"/>
              <w:ind w:left="392"/>
              <w:contextualSpacing w:val="0"/>
              <w:rPr>
                <w:color w:val="1F4E79"/>
                <w:sz w:val="22"/>
              </w:rPr>
            </w:pPr>
            <w:r w:rsidRPr="00796902">
              <w:rPr>
                <w:color w:val="000000" w:themeColor="text1"/>
                <w:sz w:val="22"/>
              </w:rPr>
              <w:t>What is the status of the 1MW solar interconnection near Templeton Substation (Queue #1838-RD)? Please also provide the location of the field. If the interconnection study results indicate failure, explain what system upgrades (at minimum) would be necessary for a successful interconnection.</w:t>
            </w:r>
          </w:p>
        </w:tc>
        <w:tc>
          <w:tcPr>
            <w:tcW w:w="990" w:type="dxa"/>
            <w:shd w:val="clear" w:color="auto" w:fill="auto"/>
            <w:tcMar>
              <w:left w:w="58" w:type="dxa"/>
              <w:right w:w="58" w:type="dxa"/>
            </w:tcMar>
          </w:tcPr>
          <w:p w14:paraId="64841958" w14:textId="6A5CA547" w:rsidR="00A43170" w:rsidRDefault="00A43170" w:rsidP="00A43170">
            <w:pPr>
              <w:spacing w:before="40" w:after="40"/>
              <w:jc w:val="center"/>
              <w:rPr>
                <w:rFonts w:ascii="Calibri" w:eastAsia="Calibri" w:hAnsi="Calibri" w:cs="Calibri"/>
                <w:sz w:val="20"/>
                <w:szCs w:val="20"/>
              </w:rPr>
            </w:pPr>
            <w:r>
              <w:rPr>
                <w:rFonts w:ascii="Calibri" w:eastAsia="Calibri" w:hAnsi="Calibri" w:cs="Calibri"/>
                <w:sz w:val="20"/>
                <w:szCs w:val="20"/>
              </w:rPr>
              <w:t>6/27/19</w:t>
            </w:r>
          </w:p>
        </w:tc>
        <w:tc>
          <w:tcPr>
            <w:tcW w:w="990" w:type="dxa"/>
            <w:shd w:val="clear" w:color="auto" w:fill="auto"/>
            <w:tcMar>
              <w:left w:w="58" w:type="dxa"/>
              <w:right w:w="58" w:type="dxa"/>
            </w:tcMar>
          </w:tcPr>
          <w:p w14:paraId="3ACD2FD1" w14:textId="77777777" w:rsidR="00A43170" w:rsidRDefault="00A43170" w:rsidP="00A43170">
            <w:pPr>
              <w:spacing w:before="40" w:after="40"/>
              <w:rPr>
                <w:rFonts w:ascii="Calibri" w:eastAsia="Calibri" w:hAnsi="Calibri" w:cs="Calibri"/>
                <w:sz w:val="20"/>
                <w:szCs w:val="20"/>
              </w:rPr>
            </w:pPr>
          </w:p>
        </w:tc>
        <w:tc>
          <w:tcPr>
            <w:tcW w:w="990" w:type="dxa"/>
            <w:shd w:val="clear" w:color="auto" w:fill="auto"/>
            <w:tcMar>
              <w:left w:w="43" w:type="dxa"/>
              <w:right w:w="14" w:type="dxa"/>
            </w:tcMar>
          </w:tcPr>
          <w:p w14:paraId="6CB03F83" w14:textId="77777777" w:rsidR="00A43170" w:rsidRDefault="00A43170" w:rsidP="00A43170">
            <w:pPr>
              <w:spacing w:before="40" w:after="40"/>
              <w:ind w:left="-36" w:right="-27"/>
              <w:rPr>
                <w:rFonts w:ascii="Calibri" w:eastAsia="Calibri" w:hAnsi="Calibri" w:cs="Calibri"/>
                <w:sz w:val="20"/>
                <w:szCs w:val="20"/>
              </w:rPr>
            </w:pPr>
          </w:p>
        </w:tc>
        <w:tc>
          <w:tcPr>
            <w:tcW w:w="2430" w:type="dxa"/>
            <w:shd w:val="clear" w:color="auto" w:fill="auto"/>
          </w:tcPr>
          <w:p w14:paraId="40817595" w14:textId="77777777" w:rsidR="00A43170" w:rsidRDefault="00A43170" w:rsidP="00A43170">
            <w:pPr>
              <w:spacing w:before="40" w:after="40"/>
              <w:rPr>
                <w:rFonts w:ascii="Calibri" w:eastAsia="Calibri" w:hAnsi="Calibri" w:cs="Calibri"/>
                <w:sz w:val="20"/>
                <w:szCs w:val="20"/>
              </w:rPr>
            </w:pPr>
          </w:p>
        </w:tc>
      </w:tr>
      <w:tr w:rsidR="00A43170" w14:paraId="1DDD010C" w14:textId="77777777" w:rsidTr="00593322">
        <w:tc>
          <w:tcPr>
            <w:tcW w:w="720" w:type="dxa"/>
            <w:shd w:val="clear" w:color="auto" w:fill="auto"/>
            <w:tcMar>
              <w:left w:w="58" w:type="dxa"/>
              <w:right w:w="58" w:type="dxa"/>
            </w:tcMar>
          </w:tcPr>
          <w:p w14:paraId="61F243D2" w14:textId="1E54A009" w:rsidR="00A43170" w:rsidRDefault="00A43170" w:rsidP="00A43170">
            <w:pPr>
              <w:keepLines/>
              <w:spacing w:before="40" w:after="40"/>
              <w:jc w:val="center"/>
              <w:rPr>
                <w:rFonts w:ascii="Calibri" w:eastAsia="Calibri" w:hAnsi="Calibri" w:cs="Calibri"/>
                <w:sz w:val="20"/>
                <w:szCs w:val="20"/>
              </w:rPr>
            </w:pPr>
            <w:r>
              <w:rPr>
                <w:rFonts w:ascii="Calibri" w:eastAsia="Calibri" w:hAnsi="Calibri" w:cs="Calibri"/>
                <w:sz w:val="20"/>
                <w:szCs w:val="20"/>
              </w:rPr>
              <w:t>3</w:t>
            </w:r>
          </w:p>
        </w:tc>
        <w:tc>
          <w:tcPr>
            <w:tcW w:w="1890" w:type="dxa"/>
            <w:shd w:val="clear" w:color="auto" w:fill="auto"/>
            <w:tcMar>
              <w:left w:w="43" w:type="dxa"/>
              <w:right w:w="43" w:type="dxa"/>
            </w:tcMar>
          </w:tcPr>
          <w:p w14:paraId="2620C381" w14:textId="78314166" w:rsidR="00A43170" w:rsidRPr="00995F23" w:rsidRDefault="00A43170" w:rsidP="00A43170">
            <w:pPr>
              <w:keepLines/>
              <w:spacing w:before="40" w:after="40"/>
              <w:rPr>
                <w:rFonts w:ascii="Calibri" w:eastAsia="Calibri" w:hAnsi="Calibri" w:cs="Calibri"/>
                <w:b/>
                <w:sz w:val="20"/>
                <w:szCs w:val="20"/>
              </w:rPr>
            </w:pPr>
            <w:r>
              <w:rPr>
                <w:rFonts w:ascii="Calibri" w:eastAsia="Calibri" w:hAnsi="Calibri" w:cs="Calibri"/>
                <w:b/>
                <w:sz w:val="20"/>
                <w:szCs w:val="20"/>
              </w:rPr>
              <w:t>Flow Battery Comment on the Draft ASR</w:t>
            </w:r>
          </w:p>
        </w:tc>
        <w:tc>
          <w:tcPr>
            <w:tcW w:w="6390" w:type="dxa"/>
            <w:shd w:val="clear" w:color="auto" w:fill="auto"/>
            <w:tcMar>
              <w:left w:w="58" w:type="dxa"/>
              <w:right w:w="43" w:type="dxa"/>
            </w:tcMar>
          </w:tcPr>
          <w:p w14:paraId="57C74E4C" w14:textId="560DC90F" w:rsidR="00A43170" w:rsidRPr="00796902" w:rsidRDefault="00A43170" w:rsidP="00A43170">
            <w:pPr>
              <w:spacing w:before="40" w:after="40"/>
              <w:rPr>
                <w:color w:val="1F4E79"/>
                <w:sz w:val="22"/>
              </w:rPr>
            </w:pPr>
            <w:r w:rsidRPr="00796902">
              <w:rPr>
                <w:color w:val="000000" w:themeColor="text1"/>
                <w:sz w:val="22"/>
              </w:rPr>
              <w:t>Discuss the potential for installing a flow BESS at or adjacent to Templeton Substation up to the size specified in the Draft ASR (55MW/660MWh).</w:t>
            </w:r>
          </w:p>
        </w:tc>
        <w:tc>
          <w:tcPr>
            <w:tcW w:w="990" w:type="dxa"/>
            <w:shd w:val="clear" w:color="auto" w:fill="auto"/>
            <w:tcMar>
              <w:left w:w="58" w:type="dxa"/>
              <w:right w:w="58" w:type="dxa"/>
            </w:tcMar>
          </w:tcPr>
          <w:p w14:paraId="1413989F" w14:textId="3556500D" w:rsidR="00A43170" w:rsidRDefault="00A43170" w:rsidP="00A43170">
            <w:pPr>
              <w:keepLines/>
              <w:spacing w:before="40" w:after="40"/>
              <w:jc w:val="center"/>
              <w:rPr>
                <w:rFonts w:ascii="Calibri" w:eastAsia="Calibri" w:hAnsi="Calibri" w:cs="Calibri"/>
                <w:sz w:val="20"/>
                <w:szCs w:val="20"/>
              </w:rPr>
            </w:pPr>
            <w:r>
              <w:rPr>
                <w:rFonts w:ascii="Calibri" w:eastAsia="Calibri" w:hAnsi="Calibri" w:cs="Calibri"/>
                <w:sz w:val="20"/>
                <w:szCs w:val="20"/>
              </w:rPr>
              <w:t>6/27/19</w:t>
            </w:r>
          </w:p>
        </w:tc>
        <w:tc>
          <w:tcPr>
            <w:tcW w:w="990" w:type="dxa"/>
            <w:shd w:val="clear" w:color="auto" w:fill="auto"/>
            <w:tcMar>
              <w:left w:w="58" w:type="dxa"/>
              <w:right w:w="58" w:type="dxa"/>
            </w:tcMar>
          </w:tcPr>
          <w:p w14:paraId="4ED2CB86" w14:textId="77777777" w:rsidR="00A43170" w:rsidRDefault="00A43170" w:rsidP="00A43170">
            <w:pPr>
              <w:keepLines/>
              <w:spacing w:before="40" w:after="40"/>
              <w:rPr>
                <w:rFonts w:ascii="Calibri" w:eastAsia="Calibri" w:hAnsi="Calibri" w:cs="Calibri"/>
                <w:sz w:val="20"/>
                <w:szCs w:val="20"/>
              </w:rPr>
            </w:pPr>
          </w:p>
        </w:tc>
        <w:tc>
          <w:tcPr>
            <w:tcW w:w="990" w:type="dxa"/>
            <w:shd w:val="clear" w:color="auto" w:fill="auto"/>
            <w:tcMar>
              <w:left w:w="43" w:type="dxa"/>
              <w:right w:w="14" w:type="dxa"/>
            </w:tcMar>
          </w:tcPr>
          <w:p w14:paraId="07D6C3A0" w14:textId="77777777" w:rsidR="00A43170" w:rsidRDefault="00A43170" w:rsidP="00A43170">
            <w:pPr>
              <w:keepLines/>
              <w:spacing w:before="40" w:after="40"/>
              <w:ind w:left="-36" w:right="-27"/>
              <w:rPr>
                <w:rFonts w:ascii="Calibri" w:eastAsia="Calibri" w:hAnsi="Calibri" w:cs="Calibri"/>
                <w:sz w:val="20"/>
                <w:szCs w:val="20"/>
              </w:rPr>
            </w:pPr>
          </w:p>
        </w:tc>
        <w:tc>
          <w:tcPr>
            <w:tcW w:w="2430" w:type="dxa"/>
            <w:shd w:val="clear" w:color="auto" w:fill="auto"/>
          </w:tcPr>
          <w:p w14:paraId="551B92D6" w14:textId="77777777" w:rsidR="00A43170" w:rsidRDefault="00A43170" w:rsidP="00A43170">
            <w:pPr>
              <w:keepLines/>
              <w:spacing w:before="40" w:after="40"/>
              <w:rPr>
                <w:rFonts w:ascii="Calibri" w:eastAsia="Calibri" w:hAnsi="Calibri" w:cs="Calibri"/>
                <w:sz w:val="20"/>
                <w:szCs w:val="20"/>
              </w:rPr>
            </w:pPr>
          </w:p>
        </w:tc>
      </w:tr>
      <w:tr w:rsidR="00A43170" w14:paraId="10CFAD6B" w14:textId="77777777" w:rsidTr="00593322">
        <w:tc>
          <w:tcPr>
            <w:tcW w:w="720" w:type="dxa"/>
            <w:shd w:val="clear" w:color="auto" w:fill="auto"/>
            <w:tcMar>
              <w:left w:w="58" w:type="dxa"/>
              <w:right w:w="58" w:type="dxa"/>
            </w:tcMar>
          </w:tcPr>
          <w:p w14:paraId="61C551B7" w14:textId="4315FA81" w:rsidR="00A43170" w:rsidRDefault="00A43170" w:rsidP="00A43170">
            <w:pPr>
              <w:keepLines/>
              <w:spacing w:before="40" w:after="40"/>
              <w:jc w:val="center"/>
              <w:rPr>
                <w:rFonts w:ascii="Calibri" w:eastAsia="Calibri" w:hAnsi="Calibri" w:cs="Calibri"/>
                <w:sz w:val="20"/>
                <w:szCs w:val="20"/>
              </w:rPr>
            </w:pPr>
            <w:r>
              <w:rPr>
                <w:rFonts w:ascii="Calibri" w:eastAsia="Calibri" w:hAnsi="Calibri" w:cs="Calibri"/>
                <w:sz w:val="20"/>
                <w:szCs w:val="20"/>
              </w:rPr>
              <w:lastRenderedPageBreak/>
              <w:t>4</w:t>
            </w:r>
          </w:p>
        </w:tc>
        <w:tc>
          <w:tcPr>
            <w:tcW w:w="1890" w:type="dxa"/>
            <w:shd w:val="clear" w:color="auto" w:fill="auto"/>
            <w:tcMar>
              <w:left w:w="43" w:type="dxa"/>
              <w:right w:w="43" w:type="dxa"/>
            </w:tcMar>
          </w:tcPr>
          <w:p w14:paraId="69DCB45E" w14:textId="659B19E8" w:rsidR="00A43170" w:rsidRDefault="00A43170" w:rsidP="00A43170">
            <w:pPr>
              <w:keepLines/>
              <w:spacing w:before="40" w:after="40"/>
              <w:rPr>
                <w:rFonts w:ascii="Calibri" w:eastAsia="Calibri" w:hAnsi="Calibri" w:cs="Calibri"/>
                <w:b/>
                <w:sz w:val="20"/>
                <w:szCs w:val="20"/>
              </w:rPr>
            </w:pPr>
            <w:r>
              <w:rPr>
                <w:rFonts w:ascii="Calibri" w:eastAsia="Calibri" w:hAnsi="Calibri" w:cs="Calibri"/>
                <w:b/>
                <w:sz w:val="20"/>
                <w:szCs w:val="20"/>
              </w:rPr>
              <w:t>Underground Option Along South River Road</w:t>
            </w:r>
          </w:p>
        </w:tc>
        <w:tc>
          <w:tcPr>
            <w:tcW w:w="6390" w:type="dxa"/>
            <w:shd w:val="clear" w:color="auto" w:fill="auto"/>
            <w:tcMar>
              <w:left w:w="58" w:type="dxa"/>
              <w:right w:w="43" w:type="dxa"/>
            </w:tcMar>
          </w:tcPr>
          <w:p w14:paraId="530060A6" w14:textId="702C5BD4" w:rsidR="00A43170" w:rsidRPr="00A43170" w:rsidRDefault="00A43170" w:rsidP="00A43170">
            <w:pPr>
              <w:spacing w:before="40" w:after="40"/>
              <w:rPr>
                <w:sz w:val="22"/>
                <w:szCs w:val="22"/>
              </w:rPr>
            </w:pPr>
            <w:r w:rsidRPr="00A43170">
              <w:rPr>
                <w:sz w:val="22"/>
                <w:szCs w:val="22"/>
              </w:rPr>
              <w:t xml:space="preserve">Provide and underground design for the South River Road Alternative alignment (SE-PLR-2) from the corner of Charolais Road and South River Road north to Paso Robles Substation (approximately 0.63 miles). The design would generally follow the alternative alignment provided on 6/24/19 but should be installed closer to or within the street in some locations to reduce or avoid impacts outside road ROWs. See Figure </w:t>
            </w:r>
            <w:r>
              <w:rPr>
                <w:sz w:val="22"/>
                <w:szCs w:val="22"/>
              </w:rPr>
              <w:t>1</w:t>
            </w:r>
            <w:r w:rsidRPr="00A43170">
              <w:rPr>
                <w:sz w:val="22"/>
                <w:szCs w:val="22"/>
              </w:rPr>
              <w:t xml:space="preserve"> below. It would transition into Paso Roble’s Substation overhead across Niblick Road. </w:t>
            </w:r>
          </w:p>
        </w:tc>
        <w:tc>
          <w:tcPr>
            <w:tcW w:w="990" w:type="dxa"/>
            <w:shd w:val="clear" w:color="auto" w:fill="auto"/>
            <w:tcMar>
              <w:left w:w="58" w:type="dxa"/>
              <w:right w:w="58" w:type="dxa"/>
            </w:tcMar>
          </w:tcPr>
          <w:p w14:paraId="5088ACBA" w14:textId="69BBD1AE" w:rsidR="00A43170" w:rsidRDefault="00A43170" w:rsidP="00A43170">
            <w:pPr>
              <w:keepLines/>
              <w:spacing w:before="40" w:after="40"/>
              <w:jc w:val="center"/>
              <w:rPr>
                <w:rFonts w:ascii="Calibri" w:eastAsia="Calibri" w:hAnsi="Calibri" w:cs="Calibri"/>
                <w:sz w:val="20"/>
                <w:szCs w:val="20"/>
              </w:rPr>
            </w:pPr>
            <w:r>
              <w:rPr>
                <w:rFonts w:ascii="Calibri" w:eastAsia="Calibri" w:hAnsi="Calibri" w:cs="Calibri"/>
                <w:sz w:val="20"/>
                <w:szCs w:val="20"/>
              </w:rPr>
              <w:t>6/27/19</w:t>
            </w:r>
          </w:p>
        </w:tc>
        <w:tc>
          <w:tcPr>
            <w:tcW w:w="990" w:type="dxa"/>
            <w:shd w:val="clear" w:color="auto" w:fill="auto"/>
            <w:tcMar>
              <w:left w:w="58" w:type="dxa"/>
              <w:right w:w="58" w:type="dxa"/>
            </w:tcMar>
          </w:tcPr>
          <w:p w14:paraId="26572F0B" w14:textId="77777777" w:rsidR="00A43170" w:rsidRDefault="00A43170" w:rsidP="00A43170">
            <w:pPr>
              <w:keepLines/>
              <w:spacing w:before="40" w:after="40"/>
              <w:rPr>
                <w:rFonts w:ascii="Calibri" w:eastAsia="Calibri" w:hAnsi="Calibri" w:cs="Calibri"/>
                <w:sz w:val="20"/>
                <w:szCs w:val="20"/>
              </w:rPr>
            </w:pPr>
          </w:p>
        </w:tc>
        <w:tc>
          <w:tcPr>
            <w:tcW w:w="990" w:type="dxa"/>
            <w:shd w:val="clear" w:color="auto" w:fill="auto"/>
            <w:tcMar>
              <w:left w:w="43" w:type="dxa"/>
              <w:right w:w="14" w:type="dxa"/>
            </w:tcMar>
          </w:tcPr>
          <w:p w14:paraId="79B479CE" w14:textId="77777777" w:rsidR="00A43170" w:rsidRDefault="00A43170" w:rsidP="00A43170">
            <w:pPr>
              <w:keepLines/>
              <w:spacing w:before="40" w:after="40"/>
              <w:ind w:left="-36" w:right="-27"/>
              <w:rPr>
                <w:rFonts w:ascii="Calibri" w:eastAsia="Calibri" w:hAnsi="Calibri" w:cs="Calibri"/>
                <w:sz w:val="20"/>
                <w:szCs w:val="20"/>
              </w:rPr>
            </w:pPr>
          </w:p>
        </w:tc>
        <w:tc>
          <w:tcPr>
            <w:tcW w:w="2430" w:type="dxa"/>
            <w:shd w:val="clear" w:color="auto" w:fill="auto"/>
          </w:tcPr>
          <w:p w14:paraId="1BB1D89D" w14:textId="77777777" w:rsidR="00A43170" w:rsidRDefault="00A43170" w:rsidP="00A43170">
            <w:pPr>
              <w:keepLines/>
              <w:spacing w:before="40" w:after="40"/>
              <w:rPr>
                <w:rFonts w:ascii="Calibri" w:eastAsia="Calibri" w:hAnsi="Calibri" w:cs="Calibri"/>
                <w:sz w:val="20"/>
                <w:szCs w:val="20"/>
              </w:rPr>
            </w:pPr>
          </w:p>
        </w:tc>
      </w:tr>
      <w:tr w:rsidR="00A43170" w14:paraId="5E30BB4E" w14:textId="77777777" w:rsidTr="00593322">
        <w:tc>
          <w:tcPr>
            <w:tcW w:w="720" w:type="dxa"/>
            <w:shd w:val="clear" w:color="auto" w:fill="auto"/>
            <w:tcMar>
              <w:left w:w="58" w:type="dxa"/>
              <w:right w:w="58" w:type="dxa"/>
            </w:tcMar>
          </w:tcPr>
          <w:p w14:paraId="743A3F55" w14:textId="3D37FCCE" w:rsidR="00A43170" w:rsidRDefault="00A43170" w:rsidP="00A43170">
            <w:pPr>
              <w:keepLines/>
              <w:spacing w:before="40" w:after="40"/>
              <w:jc w:val="center"/>
              <w:rPr>
                <w:rFonts w:ascii="Calibri" w:eastAsia="Calibri" w:hAnsi="Calibri" w:cs="Calibri"/>
                <w:sz w:val="20"/>
                <w:szCs w:val="20"/>
              </w:rPr>
            </w:pPr>
            <w:r>
              <w:rPr>
                <w:rFonts w:ascii="Calibri" w:eastAsia="Calibri" w:hAnsi="Calibri" w:cs="Calibri"/>
                <w:sz w:val="20"/>
                <w:szCs w:val="20"/>
              </w:rPr>
              <w:t>5</w:t>
            </w:r>
          </w:p>
        </w:tc>
        <w:tc>
          <w:tcPr>
            <w:tcW w:w="1890" w:type="dxa"/>
            <w:shd w:val="clear" w:color="auto" w:fill="auto"/>
            <w:tcMar>
              <w:left w:w="43" w:type="dxa"/>
              <w:right w:w="43" w:type="dxa"/>
            </w:tcMar>
          </w:tcPr>
          <w:p w14:paraId="799C961D" w14:textId="3E616902" w:rsidR="00A43170" w:rsidRPr="00995F23" w:rsidRDefault="00A43170" w:rsidP="00A43170">
            <w:pPr>
              <w:keepLines/>
              <w:spacing w:before="40" w:after="40"/>
              <w:rPr>
                <w:rFonts w:ascii="Calibri" w:eastAsia="Calibri" w:hAnsi="Calibri" w:cs="Calibri"/>
                <w:b/>
                <w:sz w:val="20"/>
                <w:szCs w:val="20"/>
              </w:rPr>
            </w:pPr>
            <w:r>
              <w:rPr>
                <w:rFonts w:ascii="Calibri" w:eastAsia="Calibri" w:hAnsi="Calibri" w:cs="Calibri"/>
                <w:b/>
                <w:sz w:val="20"/>
                <w:szCs w:val="20"/>
              </w:rPr>
              <w:t>Direct 70 kV Connection / Strategic Undergrounding Alternative</w:t>
            </w:r>
          </w:p>
        </w:tc>
        <w:tc>
          <w:tcPr>
            <w:tcW w:w="6390" w:type="dxa"/>
            <w:shd w:val="clear" w:color="auto" w:fill="auto"/>
            <w:tcMar>
              <w:left w:w="58" w:type="dxa"/>
              <w:right w:w="43" w:type="dxa"/>
            </w:tcMar>
          </w:tcPr>
          <w:p w14:paraId="32E8B9FC" w14:textId="53BC3AFE" w:rsidR="00A43170" w:rsidRPr="0010657C" w:rsidRDefault="00A43170" w:rsidP="00A43170">
            <w:pPr>
              <w:numPr>
                <w:ilvl w:val="0"/>
                <w:numId w:val="23"/>
              </w:numPr>
              <w:spacing w:before="40" w:after="40"/>
              <w:ind w:left="392"/>
              <w:rPr>
                <w:sz w:val="22"/>
                <w:szCs w:val="22"/>
              </w:rPr>
            </w:pPr>
            <w:r w:rsidRPr="0010657C">
              <w:rPr>
                <w:sz w:val="22"/>
                <w:szCs w:val="22"/>
              </w:rPr>
              <w:t xml:space="preserve">Please study at least the following two options for undergrounding in this area and provide a design for consideration in the CEQA EIR (see below, Figure </w:t>
            </w:r>
            <w:r>
              <w:rPr>
                <w:sz w:val="22"/>
                <w:szCs w:val="22"/>
              </w:rPr>
              <w:t>2</w:t>
            </w:r>
            <w:r w:rsidRPr="0010657C">
              <w:rPr>
                <w:sz w:val="22"/>
                <w:szCs w:val="22"/>
              </w:rPr>
              <w:t>: Undergrounding Concepts):</w:t>
            </w:r>
          </w:p>
          <w:p w14:paraId="2533C965" w14:textId="77777777" w:rsidR="00A43170" w:rsidRPr="0010657C" w:rsidRDefault="00A43170" w:rsidP="00A43170">
            <w:pPr>
              <w:pStyle w:val="ListParagraph"/>
              <w:numPr>
                <w:ilvl w:val="0"/>
                <w:numId w:val="26"/>
              </w:numPr>
              <w:ind w:left="1080"/>
              <w:contextualSpacing w:val="0"/>
              <w:rPr>
                <w:rFonts w:eastAsiaTheme="minorHAnsi"/>
                <w:sz w:val="22"/>
                <w:szCs w:val="22"/>
              </w:rPr>
            </w:pPr>
            <w:r w:rsidRPr="0010657C">
              <w:rPr>
                <w:sz w:val="22"/>
                <w:szCs w:val="22"/>
              </w:rPr>
              <w:t>Purple Line 1 = Wisteria Lane Underground Alignment (about 1.25 miles)</w:t>
            </w:r>
          </w:p>
          <w:p w14:paraId="4EC20128" w14:textId="77777777" w:rsidR="00A43170" w:rsidRPr="0010657C" w:rsidRDefault="00A43170" w:rsidP="00A43170">
            <w:pPr>
              <w:pStyle w:val="ListParagraph"/>
              <w:numPr>
                <w:ilvl w:val="0"/>
                <w:numId w:val="26"/>
              </w:numPr>
              <w:ind w:left="1080"/>
              <w:contextualSpacing w:val="0"/>
              <w:rPr>
                <w:sz w:val="22"/>
                <w:szCs w:val="22"/>
              </w:rPr>
            </w:pPr>
            <w:r w:rsidRPr="0010657C">
              <w:rPr>
                <w:sz w:val="22"/>
                <w:szCs w:val="22"/>
              </w:rPr>
              <w:t>Purple Line 2 = Underground Along the Revised Project Route (about 1.25 miles)</w:t>
            </w:r>
          </w:p>
          <w:p w14:paraId="03B330BB" w14:textId="77777777" w:rsidR="00A43170" w:rsidRPr="0010657C" w:rsidRDefault="00A43170" w:rsidP="00A43170">
            <w:pPr>
              <w:pStyle w:val="ListParagraph"/>
              <w:numPr>
                <w:ilvl w:val="0"/>
                <w:numId w:val="26"/>
              </w:numPr>
              <w:ind w:left="1080"/>
              <w:contextualSpacing w:val="0"/>
              <w:rPr>
                <w:sz w:val="22"/>
                <w:szCs w:val="22"/>
              </w:rPr>
            </w:pPr>
            <w:r w:rsidRPr="0010657C">
              <w:rPr>
                <w:sz w:val="22"/>
                <w:szCs w:val="22"/>
              </w:rPr>
              <w:t>Yellow Line = PG&amp;E Revised Project Route</w:t>
            </w:r>
          </w:p>
          <w:p w14:paraId="03C3F23F" w14:textId="5B8E0200" w:rsidR="00A43170" w:rsidRPr="0010657C" w:rsidRDefault="00A43170" w:rsidP="00A43170">
            <w:pPr>
              <w:ind w:left="388"/>
              <w:rPr>
                <w:sz w:val="22"/>
                <w:szCs w:val="22"/>
              </w:rPr>
            </w:pPr>
            <w:r w:rsidRPr="0010657C">
              <w:rPr>
                <w:sz w:val="22"/>
                <w:szCs w:val="22"/>
              </w:rPr>
              <w:t>Provide the disturbance width and assume the underground alignment could go in the center or on either side of any roadway. We will ensure that the CEQA environmental analysis is adequate for whatever the final undergrounding alignment and length is determined to be in the Formal Proceeding/CPUC Decision (if undergrounding is included in the Decision).</w:t>
            </w:r>
          </w:p>
          <w:p w14:paraId="40E63D0F" w14:textId="637D440C" w:rsidR="00A43170" w:rsidRDefault="00A43170" w:rsidP="00A43170">
            <w:pPr>
              <w:pStyle w:val="ListParagraph"/>
              <w:numPr>
                <w:ilvl w:val="0"/>
                <w:numId w:val="26"/>
              </w:numPr>
              <w:ind w:left="1080"/>
              <w:contextualSpacing w:val="0"/>
              <w:rPr>
                <w:sz w:val="22"/>
                <w:szCs w:val="22"/>
              </w:rPr>
            </w:pPr>
            <w:r>
              <w:rPr>
                <w:sz w:val="22"/>
                <w:szCs w:val="22"/>
              </w:rPr>
              <w:t xml:space="preserve">NOTE: </w:t>
            </w:r>
            <w:r w:rsidRPr="0010657C">
              <w:rPr>
                <w:sz w:val="22"/>
                <w:szCs w:val="22"/>
              </w:rPr>
              <w:t xml:space="preserve">We </w:t>
            </w:r>
            <w:r>
              <w:rPr>
                <w:sz w:val="22"/>
                <w:szCs w:val="22"/>
              </w:rPr>
              <w:t>plan to re-</w:t>
            </w:r>
            <w:r w:rsidRPr="0010657C">
              <w:rPr>
                <w:sz w:val="22"/>
                <w:szCs w:val="22"/>
              </w:rPr>
              <w:t>notice the local parcel owners and the City and County of the design change and undergrounding options</w:t>
            </w:r>
            <w:r>
              <w:rPr>
                <w:sz w:val="22"/>
                <w:szCs w:val="22"/>
              </w:rPr>
              <w:t xml:space="preserve"> as an update notice about the Draft Alternatives Screening Report</w:t>
            </w:r>
            <w:r w:rsidRPr="0010657C">
              <w:rPr>
                <w:sz w:val="22"/>
                <w:szCs w:val="22"/>
              </w:rPr>
              <w:t>.</w:t>
            </w:r>
          </w:p>
          <w:p w14:paraId="2442FB61" w14:textId="27EA51CA" w:rsidR="00A43170" w:rsidRPr="0010657C" w:rsidRDefault="00A43170" w:rsidP="00A43170">
            <w:pPr>
              <w:numPr>
                <w:ilvl w:val="0"/>
                <w:numId w:val="23"/>
              </w:numPr>
              <w:spacing w:before="40" w:after="40"/>
              <w:ind w:left="392"/>
              <w:rPr>
                <w:sz w:val="22"/>
                <w:szCs w:val="22"/>
              </w:rPr>
            </w:pPr>
            <w:r w:rsidRPr="0010657C">
              <w:rPr>
                <w:sz w:val="22"/>
                <w:szCs w:val="22"/>
              </w:rPr>
              <w:t xml:space="preserve">Please </w:t>
            </w:r>
            <w:r>
              <w:rPr>
                <w:sz w:val="22"/>
                <w:szCs w:val="22"/>
              </w:rPr>
              <w:t xml:space="preserve">clarify </w:t>
            </w:r>
            <w:r w:rsidRPr="0010657C">
              <w:rPr>
                <w:sz w:val="22"/>
                <w:szCs w:val="22"/>
              </w:rPr>
              <w:t xml:space="preserve">the need for facilities at the beginning and end of the underground alignment. Will it be a riser pole or something more? If something more, explain why and provide examples of similar installations that require something akin to a, “small substation,” rather than simply an entrance and exit point from the underground conduit (e.g., via the typical riser pole design footprint). Explain </w:t>
            </w:r>
            <w:r>
              <w:rPr>
                <w:sz w:val="22"/>
                <w:szCs w:val="22"/>
              </w:rPr>
              <w:t xml:space="preserve">the specific conditions under which </w:t>
            </w:r>
            <w:r w:rsidRPr="0010657C">
              <w:rPr>
                <w:sz w:val="22"/>
                <w:szCs w:val="22"/>
              </w:rPr>
              <w:t>the additional facilities would be necessary and whether they are for something already planned pursuant to an adopted planning document or for something that might occur in the future.</w:t>
            </w:r>
          </w:p>
          <w:p w14:paraId="4C1BBC7E" w14:textId="72F4C53C" w:rsidR="00A43170" w:rsidRPr="0010657C" w:rsidRDefault="00A43170" w:rsidP="00A43170">
            <w:pPr>
              <w:numPr>
                <w:ilvl w:val="0"/>
                <w:numId w:val="23"/>
              </w:numPr>
              <w:spacing w:before="40" w:after="40"/>
              <w:ind w:left="392"/>
              <w:rPr>
                <w:color w:val="000000" w:themeColor="text1"/>
                <w:sz w:val="22"/>
              </w:rPr>
            </w:pPr>
            <w:r w:rsidRPr="0010657C">
              <w:rPr>
                <w:color w:val="000000" w:themeColor="text1"/>
                <w:sz w:val="22"/>
              </w:rPr>
              <w:lastRenderedPageBreak/>
              <w:t xml:space="preserve">PG&amp;E has referred to the additional facilities as 150-foot x 150-foot transition stations. </w:t>
            </w:r>
            <w:r>
              <w:rPr>
                <w:color w:val="000000" w:themeColor="text1"/>
                <w:sz w:val="22"/>
              </w:rPr>
              <w:t xml:space="preserve">What physical equipment would be housed inside the transition stations? </w:t>
            </w:r>
            <w:r w:rsidRPr="0010657C">
              <w:rPr>
                <w:color w:val="000000" w:themeColor="text1"/>
                <w:sz w:val="22"/>
              </w:rPr>
              <w:t>Who would own the transition stations, if required, and would they be sited by PG&amp;E or by a customer? Are they typically on customer property, for example, and behind the meter?</w:t>
            </w:r>
            <w:r>
              <w:rPr>
                <w:color w:val="000000" w:themeColor="text1"/>
                <w:sz w:val="22"/>
              </w:rPr>
              <w:t xml:space="preserve"> Why would a transition station be required at each end of the underground alignment?</w:t>
            </w:r>
          </w:p>
          <w:p w14:paraId="0737C8A8" w14:textId="21571022" w:rsidR="00A43170" w:rsidRPr="0010657C" w:rsidRDefault="00A43170" w:rsidP="00A43170">
            <w:pPr>
              <w:numPr>
                <w:ilvl w:val="0"/>
                <w:numId w:val="23"/>
              </w:numPr>
              <w:spacing w:before="40" w:after="40"/>
              <w:ind w:left="392"/>
              <w:rPr>
                <w:sz w:val="22"/>
                <w:szCs w:val="22"/>
              </w:rPr>
            </w:pPr>
            <w:r w:rsidRPr="0010657C">
              <w:rPr>
                <w:sz w:val="22"/>
                <w:szCs w:val="22"/>
              </w:rPr>
              <w:t>Which existing businesses would be served by a 70-kV line direct connection in or near the Gold Hill Park and for what purpose? If none, currently, describe the types of businesses that could be served in the future.</w:t>
            </w:r>
          </w:p>
        </w:tc>
        <w:tc>
          <w:tcPr>
            <w:tcW w:w="990" w:type="dxa"/>
            <w:shd w:val="clear" w:color="auto" w:fill="auto"/>
            <w:tcMar>
              <w:left w:w="58" w:type="dxa"/>
              <w:right w:w="58" w:type="dxa"/>
            </w:tcMar>
          </w:tcPr>
          <w:p w14:paraId="02197AB9" w14:textId="5802DBD7" w:rsidR="00A43170" w:rsidRDefault="00A43170" w:rsidP="00A43170">
            <w:pPr>
              <w:keepLines/>
              <w:spacing w:before="40" w:after="40"/>
              <w:jc w:val="center"/>
              <w:rPr>
                <w:rFonts w:ascii="Calibri" w:eastAsia="Calibri" w:hAnsi="Calibri" w:cs="Calibri"/>
                <w:sz w:val="20"/>
                <w:szCs w:val="20"/>
              </w:rPr>
            </w:pPr>
            <w:r>
              <w:rPr>
                <w:rFonts w:ascii="Calibri" w:eastAsia="Calibri" w:hAnsi="Calibri" w:cs="Calibri"/>
                <w:sz w:val="20"/>
                <w:szCs w:val="20"/>
              </w:rPr>
              <w:lastRenderedPageBreak/>
              <w:t>6/27/19</w:t>
            </w:r>
          </w:p>
        </w:tc>
        <w:tc>
          <w:tcPr>
            <w:tcW w:w="990" w:type="dxa"/>
            <w:shd w:val="clear" w:color="auto" w:fill="auto"/>
            <w:tcMar>
              <w:left w:w="58" w:type="dxa"/>
              <w:right w:w="58" w:type="dxa"/>
            </w:tcMar>
          </w:tcPr>
          <w:p w14:paraId="2685CCB2" w14:textId="77777777" w:rsidR="00A43170" w:rsidRDefault="00A43170" w:rsidP="00A43170">
            <w:pPr>
              <w:keepLines/>
              <w:spacing w:before="40" w:after="40"/>
              <w:rPr>
                <w:rFonts w:ascii="Calibri" w:eastAsia="Calibri" w:hAnsi="Calibri" w:cs="Calibri"/>
                <w:sz w:val="20"/>
                <w:szCs w:val="20"/>
              </w:rPr>
            </w:pPr>
          </w:p>
        </w:tc>
        <w:tc>
          <w:tcPr>
            <w:tcW w:w="990" w:type="dxa"/>
            <w:shd w:val="clear" w:color="auto" w:fill="auto"/>
            <w:tcMar>
              <w:left w:w="43" w:type="dxa"/>
              <w:right w:w="14" w:type="dxa"/>
            </w:tcMar>
          </w:tcPr>
          <w:p w14:paraId="760A9910" w14:textId="77777777" w:rsidR="00A43170" w:rsidRDefault="00A43170" w:rsidP="00A43170">
            <w:pPr>
              <w:keepLines/>
              <w:spacing w:before="40" w:after="40"/>
              <w:ind w:left="-36" w:right="-27"/>
              <w:rPr>
                <w:rFonts w:ascii="Calibri" w:eastAsia="Calibri" w:hAnsi="Calibri" w:cs="Calibri"/>
                <w:sz w:val="20"/>
                <w:szCs w:val="20"/>
              </w:rPr>
            </w:pPr>
          </w:p>
        </w:tc>
        <w:tc>
          <w:tcPr>
            <w:tcW w:w="2430" w:type="dxa"/>
            <w:shd w:val="clear" w:color="auto" w:fill="auto"/>
          </w:tcPr>
          <w:p w14:paraId="0F9EE7D6" w14:textId="77777777" w:rsidR="00A43170" w:rsidRDefault="00A43170" w:rsidP="00A43170">
            <w:pPr>
              <w:keepLines/>
              <w:spacing w:before="40" w:after="40"/>
              <w:rPr>
                <w:rFonts w:ascii="Calibri" w:eastAsia="Calibri" w:hAnsi="Calibri" w:cs="Calibri"/>
                <w:sz w:val="20"/>
                <w:szCs w:val="20"/>
              </w:rPr>
            </w:pPr>
          </w:p>
        </w:tc>
      </w:tr>
      <w:tr w:rsidR="00A43170" w14:paraId="340E23C9" w14:textId="77777777" w:rsidTr="00593322">
        <w:tc>
          <w:tcPr>
            <w:tcW w:w="720" w:type="dxa"/>
            <w:shd w:val="clear" w:color="auto" w:fill="auto"/>
            <w:tcMar>
              <w:left w:w="58" w:type="dxa"/>
              <w:right w:w="58" w:type="dxa"/>
            </w:tcMar>
          </w:tcPr>
          <w:p w14:paraId="36CC8152" w14:textId="63507BE3" w:rsidR="00A43170" w:rsidRDefault="00A43170" w:rsidP="00A43170">
            <w:pPr>
              <w:keepLines/>
              <w:spacing w:before="40" w:after="40"/>
              <w:jc w:val="center"/>
              <w:rPr>
                <w:rFonts w:ascii="Calibri" w:eastAsia="Calibri" w:hAnsi="Calibri" w:cs="Calibri"/>
                <w:sz w:val="20"/>
                <w:szCs w:val="20"/>
              </w:rPr>
            </w:pPr>
            <w:r>
              <w:rPr>
                <w:rFonts w:ascii="Calibri" w:eastAsia="Calibri" w:hAnsi="Calibri" w:cs="Calibri"/>
                <w:sz w:val="20"/>
                <w:szCs w:val="20"/>
              </w:rPr>
              <w:t>6</w:t>
            </w:r>
          </w:p>
        </w:tc>
        <w:tc>
          <w:tcPr>
            <w:tcW w:w="1890" w:type="dxa"/>
            <w:shd w:val="clear" w:color="auto" w:fill="auto"/>
            <w:tcMar>
              <w:left w:w="43" w:type="dxa"/>
              <w:right w:w="43" w:type="dxa"/>
            </w:tcMar>
          </w:tcPr>
          <w:p w14:paraId="5E89F6BC" w14:textId="6F4B6568" w:rsidR="00A43170" w:rsidRPr="00163EE0" w:rsidRDefault="00A43170" w:rsidP="00A43170">
            <w:pPr>
              <w:keepLines/>
              <w:spacing w:before="40" w:after="40"/>
              <w:rPr>
                <w:rFonts w:ascii="Calibri" w:eastAsia="Calibri" w:hAnsi="Calibri" w:cs="Calibri"/>
                <w:b/>
                <w:sz w:val="20"/>
                <w:szCs w:val="20"/>
              </w:rPr>
            </w:pPr>
            <w:r w:rsidRPr="00163EE0">
              <w:rPr>
                <w:rFonts w:ascii="Calibri" w:eastAsia="Calibri" w:hAnsi="Calibri" w:cs="Calibri"/>
                <w:b/>
                <w:sz w:val="20"/>
                <w:szCs w:val="20"/>
              </w:rPr>
              <w:t>Back-up Data from HWT Comments on the Draft ASR</w:t>
            </w:r>
          </w:p>
        </w:tc>
        <w:tc>
          <w:tcPr>
            <w:tcW w:w="6390" w:type="dxa"/>
            <w:shd w:val="clear" w:color="auto" w:fill="auto"/>
            <w:tcMar>
              <w:left w:w="58" w:type="dxa"/>
              <w:right w:w="43" w:type="dxa"/>
            </w:tcMar>
          </w:tcPr>
          <w:p w14:paraId="0EB7838E" w14:textId="77777777" w:rsidR="00A43170" w:rsidRPr="00796902" w:rsidRDefault="00A43170" w:rsidP="00A43170">
            <w:pPr>
              <w:spacing w:before="40" w:after="40"/>
              <w:rPr>
                <w:sz w:val="22"/>
              </w:rPr>
            </w:pPr>
            <w:r w:rsidRPr="00796902">
              <w:rPr>
                <w:sz w:val="22"/>
              </w:rPr>
              <w:t>Please provide the following data to support statements made in HWT’s comments on the Draft ASR:</w:t>
            </w:r>
          </w:p>
          <w:p w14:paraId="42B46262" w14:textId="77777777" w:rsidR="00A43170" w:rsidRPr="00796902" w:rsidRDefault="00A43170" w:rsidP="00A43170">
            <w:pPr>
              <w:pStyle w:val="ListParagraph"/>
              <w:numPr>
                <w:ilvl w:val="0"/>
                <w:numId w:val="24"/>
              </w:numPr>
              <w:spacing w:before="40" w:after="40"/>
              <w:contextualSpacing w:val="0"/>
              <w:rPr>
                <w:sz w:val="22"/>
              </w:rPr>
            </w:pPr>
            <w:r w:rsidRPr="00796902">
              <w:rPr>
                <w:sz w:val="22"/>
              </w:rPr>
              <w:t>Average daily traffic for El Pomar Road in the vicinity of Templeton Substation.</w:t>
            </w:r>
          </w:p>
          <w:p w14:paraId="69042D5A" w14:textId="77777777" w:rsidR="00A43170" w:rsidRPr="00796902" w:rsidRDefault="00A43170" w:rsidP="00A43170">
            <w:pPr>
              <w:pStyle w:val="ListParagraph"/>
              <w:numPr>
                <w:ilvl w:val="0"/>
                <w:numId w:val="24"/>
              </w:numPr>
              <w:spacing w:before="40" w:after="40"/>
              <w:contextualSpacing w:val="0"/>
              <w:rPr>
                <w:sz w:val="22"/>
              </w:rPr>
            </w:pPr>
            <w:r w:rsidRPr="00796902">
              <w:rPr>
                <w:sz w:val="22"/>
              </w:rPr>
              <w:t>Approximate number of oak trees, including “heritage oaks,” that would require removal for construction of the Templeton Substation Expansion (Alternative SE-1).</w:t>
            </w:r>
          </w:p>
          <w:p w14:paraId="6DCB833B" w14:textId="1D573ED6" w:rsidR="00A43170" w:rsidRPr="00796902" w:rsidRDefault="00A43170" w:rsidP="00A43170">
            <w:pPr>
              <w:pStyle w:val="ListParagraph"/>
              <w:numPr>
                <w:ilvl w:val="0"/>
                <w:numId w:val="24"/>
              </w:numPr>
              <w:spacing w:before="40" w:after="40"/>
              <w:contextualSpacing w:val="0"/>
              <w:rPr>
                <w:sz w:val="22"/>
              </w:rPr>
            </w:pPr>
            <w:r w:rsidRPr="00796902">
              <w:rPr>
                <w:sz w:val="22"/>
              </w:rPr>
              <w:t>Location of the active golden eagle nest near Templeton Substation referenced in the comments: “The Templeton Substation Expansion would also be located approximately 1 mile closer to an active golden eagle nest than the Proposed Estrella Substation (HWT Comments, page 18).”</w:t>
            </w:r>
          </w:p>
        </w:tc>
        <w:tc>
          <w:tcPr>
            <w:tcW w:w="990" w:type="dxa"/>
            <w:shd w:val="clear" w:color="auto" w:fill="auto"/>
            <w:tcMar>
              <w:left w:w="58" w:type="dxa"/>
              <w:right w:w="58" w:type="dxa"/>
            </w:tcMar>
          </w:tcPr>
          <w:p w14:paraId="33764EB8" w14:textId="1C81A729" w:rsidR="00A43170" w:rsidRDefault="00A43170" w:rsidP="00A43170">
            <w:pPr>
              <w:keepLines/>
              <w:spacing w:before="40" w:after="40"/>
              <w:jc w:val="center"/>
              <w:rPr>
                <w:rFonts w:ascii="Calibri" w:eastAsia="Calibri" w:hAnsi="Calibri" w:cs="Calibri"/>
                <w:sz w:val="20"/>
                <w:szCs w:val="20"/>
              </w:rPr>
            </w:pPr>
            <w:r>
              <w:rPr>
                <w:rFonts w:ascii="Calibri" w:eastAsia="Calibri" w:hAnsi="Calibri" w:cs="Calibri"/>
                <w:sz w:val="20"/>
                <w:szCs w:val="20"/>
              </w:rPr>
              <w:t>6/27/19</w:t>
            </w:r>
          </w:p>
        </w:tc>
        <w:tc>
          <w:tcPr>
            <w:tcW w:w="990" w:type="dxa"/>
            <w:shd w:val="clear" w:color="auto" w:fill="auto"/>
            <w:tcMar>
              <w:left w:w="58" w:type="dxa"/>
              <w:right w:w="58" w:type="dxa"/>
            </w:tcMar>
          </w:tcPr>
          <w:p w14:paraId="5CB6AC0E" w14:textId="77777777" w:rsidR="00A43170" w:rsidRDefault="00A43170" w:rsidP="00A43170">
            <w:pPr>
              <w:keepLines/>
              <w:spacing w:before="40" w:after="40"/>
              <w:rPr>
                <w:rFonts w:ascii="Calibri" w:eastAsia="Calibri" w:hAnsi="Calibri" w:cs="Calibri"/>
                <w:sz w:val="20"/>
                <w:szCs w:val="20"/>
              </w:rPr>
            </w:pPr>
          </w:p>
        </w:tc>
        <w:tc>
          <w:tcPr>
            <w:tcW w:w="990" w:type="dxa"/>
            <w:shd w:val="clear" w:color="auto" w:fill="auto"/>
            <w:tcMar>
              <w:left w:w="43" w:type="dxa"/>
              <w:right w:w="14" w:type="dxa"/>
            </w:tcMar>
          </w:tcPr>
          <w:p w14:paraId="66F36C4D" w14:textId="77777777" w:rsidR="00A43170" w:rsidRDefault="00A43170" w:rsidP="00A43170">
            <w:pPr>
              <w:keepLines/>
              <w:spacing w:before="40" w:after="40"/>
              <w:ind w:left="-36" w:right="-27"/>
              <w:rPr>
                <w:rFonts w:ascii="Calibri" w:eastAsia="Calibri" w:hAnsi="Calibri" w:cs="Calibri"/>
                <w:sz w:val="20"/>
                <w:szCs w:val="20"/>
              </w:rPr>
            </w:pPr>
          </w:p>
        </w:tc>
        <w:tc>
          <w:tcPr>
            <w:tcW w:w="2430" w:type="dxa"/>
            <w:shd w:val="clear" w:color="auto" w:fill="auto"/>
          </w:tcPr>
          <w:p w14:paraId="238EB04C" w14:textId="77777777" w:rsidR="00A43170" w:rsidRDefault="00A43170" w:rsidP="00A43170">
            <w:pPr>
              <w:keepLines/>
              <w:spacing w:before="40" w:after="40"/>
              <w:rPr>
                <w:rFonts w:ascii="Calibri" w:eastAsia="Calibri" w:hAnsi="Calibri" w:cs="Calibri"/>
                <w:sz w:val="20"/>
                <w:szCs w:val="20"/>
              </w:rPr>
            </w:pPr>
          </w:p>
        </w:tc>
      </w:tr>
      <w:tr w:rsidR="00807DC2" w14:paraId="46E638AA" w14:textId="77777777" w:rsidTr="00593322">
        <w:tc>
          <w:tcPr>
            <w:tcW w:w="720" w:type="dxa"/>
            <w:shd w:val="clear" w:color="auto" w:fill="auto"/>
            <w:tcMar>
              <w:left w:w="58" w:type="dxa"/>
              <w:right w:w="58" w:type="dxa"/>
            </w:tcMar>
          </w:tcPr>
          <w:p w14:paraId="4F58BDEF" w14:textId="09189DE3" w:rsidR="00807DC2" w:rsidRDefault="00807DC2" w:rsidP="00A43170">
            <w:pPr>
              <w:keepLines/>
              <w:spacing w:before="40" w:after="40"/>
              <w:jc w:val="center"/>
              <w:rPr>
                <w:rFonts w:ascii="Calibri" w:eastAsia="Calibri" w:hAnsi="Calibri" w:cs="Calibri"/>
                <w:sz w:val="20"/>
                <w:szCs w:val="20"/>
              </w:rPr>
            </w:pPr>
            <w:r>
              <w:rPr>
                <w:rFonts w:ascii="Calibri" w:eastAsia="Calibri" w:hAnsi="Calibri" w:cs="Calibri"/>
                <w:sz w:val="20"/>
                <w:szCs w:val="20"/>
              </w:rPr>
              <w:t>7</w:t>
            </w:r>
          </w:p>
        </w:tc>
        <w:tc>
          <w:tcPr>
            <w:tcW w:w="1890" w:type="dxa"/>
            <w:shd w:val="clear" w:color="auto" w:fill="auto"/>
            <w:tcMar>
              <w:left w:w="43" w:type="dxa"/>
              <w:right w:w="43" w:type="dxa"/>
            </w:tcMar>
          </w:tcPr>
          <w:p w14:paraId="1A7B467A" w14:textId="464EAD40" w:rsidR="00807DC2" w:rsidRPr="00163EE0" w:rsidRDefault="00807DC2" w:rsidP="00A43170">
            <w:pPr>
              <w:keepLines/>
              <w:spacing w:before="40" w:after="40"/>
              <w:rPr>
                <w:rFonts w:ascii="Calibri" w:eastAsia="Calibri" w:hAnsi="Calibri" w:cs="Calibri"/>
                <w:b/>
                <w:sz w:val="20"/>
                <w:szCs w:val="20"/>
              </w:rPr>
            </w:pPr>
            <w:r>
              <w:rPr>
                <w:rFonts w:ascii="Calibri" w:eastAsia="Calibri" w:hAnsi="Calibri" w:cs="Calibri"/>
                <w:b/>
                <w:sz w:val="20"/>
                <w:szCs w:val="20"/>
              </w:rPr>
              <w:t>Route Options from Bonel Ranch</w:t>
            </w:r>
            <w:r w:rsidR="009231B2">
              <w:rPr>
                <w:rFonts w:ascii="Calibri" w:eastAsia="Calibri" w:hAnsi="Calibri" w:cs="Calibri"/>
                <w:b/>
                <w:sz w:val="20"/>
                <w:szCs w:val="20"/>
              </w:rPr>
              <w:t xml:space="preserve"> (Draft ASR Comment)</w:t>
            </w:r>
          </w:p>
        </w:tc>
        <w:tc>
          <w:tcPr>
            <w:tcW w:w="6390" w:type="dxa"/>
            <w:shd w:val="clear" w:color="auto" w:fill="auto"/>
            <w:tcMar>
              <w:left w:w="58" w:type="dxa"/>
              <w:right w:w="43" w:type="dxa"/>
            </w:tcMar>
          </w:tcPr>
          <w:p w14:paraId="064B8932" w14:textId="723D5420" w:rsidR="00807DC2" w:rsidRPr="00796902" w:rsidRDefault="00807DC2" w:rsidP="00A43170">
            <w:pPr>
              <w:spacing w:before="40" w:after="40"/>
              <w:rPr>
                <w:sz w:val="22"/>
              </w:rPr>
            </w:pPr>
            <w:r>
              <w:rPr>
                <w:sz w:val="22"/>
              </w:rPr>
              <w:t xml:space="preserve">See attached figure (pdf). Please discuss the two Minor Route Variations to the Orange line </w:t>
            </w:r>
            <w:r w:rsidR="00465D73">
              <w:rPr>
                <w:sz w:val="22"/>
              </w:rPr>
              <w:t xml:space="preserve">(Alt. PLR-1C) </w:t>
            </w:r>
            <w:r>
              <w:rPr>
                <w:sz w:val="22"/>
              </w:rPr>
              <w:t xml:space="preserve">shown on the figure. These were </w:t>
            </w:r>
            <w:r w:rsidR="009231B2">
              <w:rPr>
                <w:sz w:val="22"/>
              </w:rPr>
              <w:t>described</w:t>
            </w:r>
            <w:r>
              <w:rPr>
                <w:sz w:val="22"/>
              </w:rPr>
              <w:t xml:space="preserve"> via phone call in a comment on the Draft Alternatives Screening Report. The pink line (along Estrella Road) is especially interesting as it follows an existing road ROW. The purple line reduces the overland crossing </w:t>
            </w:r>
            <w:r w:rsidR="00465D73">
              <w:rPr>
                <w:sz w:val="22"/>
              </w:rPr>
              <w:t xml:space="preserve">and land access </w:t>
            </w:r>
            <w:r>
              <w:rPr>
                <w:sz w:val="22"/>
              </w:rPr>
              <w:t xml:space="preserve">issues associated with the yellow route </w:t>
            </w:r>
            <w:r w:rsidR="00465D73">
              <w:rPr>
                <w:sz w:val="22"/>
              </w:rPr>
              <w:t xml:space="preserve">that </w:t>
            </w:r>
            <w:r>
              <w:rPr>
                <w:sz w:val="22"/>
              </w:rPr>
              <w:t xml:space="preserve">we </w:t>
            </w:r>
            <w:r w:rsidR="00465D73">
              <w:rPr>
                <w:sz w:val="22"/>
              </w:rPr>
              <w:t>still plan</w:t>
            </w:r>
            <w:r>
              <w:rPr>
                <w:sz w:val="22"/>
              </w:rPr>
              <w:t xml:space="preserve"> to screen out. One or both Minor Route Variations may be carried forward for further analysis</w:t>
            </w:r>
            <w:r w:rsidR="00465D73">
              <w:rPr>
                <w:sz w:val="22"/>
              </w:rPr>
              <w:t xml:space="preserve"> (pink and purple)</w:t>
            </w:r>
            <w:r>
              <w:rPr>
                <w:sz w:val="22"/>
              </w:rPr>
              <w:t>.</w:t>
            </w:r>
            <w:r w:rsidR="00465D73">
              <w:rPr>
                <w:sz w:val="22"/>
              </w:rPr>
              <w:t xml:space="preserve"> Please comment on them.</w:t>
            </w:r>
          </w:p>
        </w:tc>
        <w:tc>
          <w:tcPr>
            <w:tcW w:w="990" w:type="dxa"/>
            <w:shd w:val="clear" w:color="auto" w:fill="auto"/>
            <w:tcMar>
              <w:left w:w="58" w:type="dxa"/>
              <w:right w:w="58" w:type="dxa"/>
            </w:tcMar>
          </w:tcPr>
          <w:p w14:paraId="1ADAF299" w14:textId="207EFED3" w:rsidR="00807DC2" w:rsidRDefault="00807DC2" w:rsidP="00A43170">
            <w:pPr>
              <w:keepLines/>
              <w:spacing w:before="40" w:after="40"/>
              <w:jc w:val="center"/>
              <w:rPr>
                <w:rFonts w:ascii="Calibri" w:eastAsia="Calibri" w:hAnsi="Calibri" w:cs="Calibri"/>
                <w:sz w:val="20"/>
                <w:szCs w:val="20"/>
              </w:rPr>
            </w:pPr>
            <w:r>
              <w:rPr>
                <w:rFonts w:ascii="Calibri" w:eastAsia="Calibri" w:hAnsi="Calibri" w:cs="Calibri"/>
                <w:sz w:val="20"/>
                <w:szCs w:val="20"/>
              </w:rPr>
              <w:t>6/27/19</w:t>
            </w:r>
          </w:p>
        </w:tc>
        <w:tc>
          <w:tcPr>
            <w:tcW w:w="990" w:type="dxa"/>
            <w:shd w:val="clear" w:color="auto" w:fill="auto"/>
            <w:tcMar>
              <w:left w:w="58" w:type="dxa"/>
              <w:right w:w="58" w:type="dxa"/>
            </w:tcMar>
          </w:tcPr>
          <w:p w14:paraId="5C998A3B" w14:textId="77777777" w:rsidR="00807DC2" w:rsidRDefault="00807DC2" w:rsidP="00A43170">
            <w:pPr>
              <w:keepLines/>
              <w:spacing w:before="40" w:after="40"/>
              <w:rPr>
                <w:rFonts w:ascii="Calibri" w:eastAsia="Calibri" w:hAnsi="Calibri" w:cs="Calibri"/>
                <w:sz w:val="20"/>
                <w:szCs w:val="20"/>
              </w:rPr>
            </w:pPr>
          </w:p>
        </w:tc>
        <w:tc>
          <w:tcPr>
            <w:tcW w:w="990" w:type="dxa"/>
            <w:shd w:val="clear" w:color="auto" w:fill="auto"/>
            <w:tcMar>
              <w:left w:w="43" w:type="dxa"/>
              <w:right w:w="14" w:type="dxa"/>
            </w:tcMar>
          </w:tcPr>
          <w:p w14:paraId="0958F18C" w14:textId="77777777" w:rsidR="00807DC2" w:rsidRDefault="00807DC2" w:rsidP="00A43170">
            <w:pPr>
              <w:keepLines/>
              <w:spacing w:before="40" w:after="40"/>
              <w:ind w:left="-36" w:right="-27"/>
              <w:rPr>
                <w:rFonts w:ascii="Calibri" w:eastAsia="Calibri" w:hAnsi="Calibri" w:cs="Calibri"/>
                <w:sz w:val="20"/>
                <w:szCs w:val="20"/>
              </w:rPr>
            </w:pPr>
          </w:p>
        </w:tc>
        <w:tc>
          <w:tcPr>
            <w:tcW w:w="2430" w:type="dxa"/>
            <w:shd w:val="clear" w:color="auto" w:fill="auto"/>
          </w:tcPr>
          <w:p w14:paraId="343741DB" w14:textId="77777777" w:rsidR="00807DC2" w:rsidRDefault="00807DC2" w:rsidP="00A43170">
            <w:pPr>
              <w:keepLines/>
              <w:spacing w:before="40" w:after="40"/>
              <w:rPr>
                <w:rFonts w:ascii="Calibri" w:eastAsia="Calibri" w:hAnsi="Calibri" w:cs="Calibri"/>
                <w:sz w:val="20"/>
                <w:szCs w:val="20"/>
              </w:rPr>
            </w:pPr>
          </w:p>
        </w:tc>
      </w:tr>
    </w:tbl>
    <w:p w14:paraId="3A7973E9" w14:textId="77777777" w:rsidR="006F3660" w:rsidRDefault="006F3660" w:rsidP="006F3660">
      <w:pPr>
        <w:rPr>
          <w:rFonts w:eastAsiaTheme="minorHAnsi"/>
          <w:color w:val="1F4E79"/>
        </w:rPr>
      </w:pPr>
    </w:p>
    <w:p w14:paraId="7841DC89" w14:textId="221E7CC3" w:rsidR="009508BB" w:rsidRDefault="009508BB">
      <w:pPr>
        <w:tabs>
          <w:tab w:val="left" w:pos="7960"/>
        </w:tabs>
        <w:rPr>
          <w:sz w:val="10"/>
        </w:rPr>
      </w:pPr>
    </w:p>
    <w:p w14:paraId="23BAEABA" w14:textId="5D41A142" w:rsidR="008E5267" w:rsidRDefault="008E5267">
      <w:pPr>
        <w:tabs>
          <w:tab w:val="left" w:pos="7960"/>
        </w:tabs>
        <w:rPr>
          <w:sz w:val="10"/>
        </w:rPr>
      </w:pPr>
    </w:p>
    <w:p w14:paraId="39D4503F" w14:textId="2117509D" w:rsidR="008E5267" w:rsidRDefault="008E5267">
      <w:pPr>
        <w:tabs>
          <w:tab w:val="left" w:pos="7960"/>
        </w:tabs>
        <w:rPr>
          <w:sz w:val="10"/>
        </w:rPr>
      </w:pPr>
    </w:p>
    <w:p w14:paraId="167C54B4" w14:textId="3ACA43AD" w:rsidR="008E5267" w:rsidRDefault="008E5267">
      <w:pPr>
        <w:tabs>
          <w:tab w:val="left" w:pos="7960"/>
        </w:tabs>
        <w:rPr>
          <w:sz w:val="10"/>
        </w:rPr>
      </w:pPr>
    </w:p>
    <w:p w14:paraId="3A600596" w14:textId="10C32B67" w:rsidR="00570532" w:rsidRDefault="00570532">
      <w:pPr>
        <w:tabs>
          <w:tab w:val="left" w:pos="7960"/>
        </w:tabs>
        <w:rPr>
          <w:sz w:val="10"/>
        </w:rPr>
      </w:pPr>
    </w:p>
    <w:p w14:paraId="2A64D514" w14:textId="794F1EC1" w:rsidR="00570532" w:rsidRDefault="00570532">
      <w:pPr>
        <w:tabs>
          <w:tab w:val="left" w:pos="7960"/>
        </w:tabs>
        <w:rPr>
          <w:sz w:val="10"/>
        </w:rPr>
      </w:pPr>
    </w:p>
    <w:p w14:paraId="6B5BBEAF" w14:textId="39AF210F" w:rsidR="00570532" w:rsidRDefault="00570532">
      <w:pPr>
        <w:tabs>
          <w:tab w:val="left" w:pos="7960"/>
        </w:tabs>
        <w:rPr>
          <w:sz w:val="10"/>
        </w:rPr>
      </w:pPr>
    </w:p>
    <w:p w14:paraId="2523D414" w14:textId="2D3565B1" w:rsidR="00570532" w:rsidRDefault="00570532" w:rsidP="00570532">
      <w:pPr>
        <w:keepNext/>
        <w:keepLines/>
        <w:tabs>
          <w:tab w:val="left" w:pos="7960"/>
        </w:tabs>
        <w:rPr>
          <w:b/>
          <w:bCs/>
        </w:rPr>
      </w:pPr>
      <w:bookmarkStart w:id="0" w:name="_GoBack"/>
      <w:bookmarkEnd w:id="0"/>
      <w:r w:rsidRPr="008E5267">
        <w:rPr>
          <w:b/>
          <w:bCs/>
        </w:rPr>
        <w:t xml:space="preserve">Figure </w:t>
      </w:r>
      <w:r w:rsidR="00A43170">
        <w:rPr>
          <w:b/>
          <w:bCs/>
        </w:rPr>
        <w:t>1</w:t>
      </w:r>
      <w:r w:rsidRPr="008E5267">
        <w:rPr>
          <w:b/>
          <w:bCs/>
        </w:rPr>
        <w:t xml:space="preserve">: </w:t>
      </w:r>
      <w:r>
        <w:rPr>
          <w:b/>
          <w:bCs/>
        </w:rPr>
        <w:t xml:space="preserve">South River Road Underground Alignment </w:t>
      </w:r>
      <w:r w:rsidR="0066047B">
        <w:rPr>
          <w:b/>
          <w:bCs/>
        </w:rPr>
        <w:t>(Purple Line)</w:t>
      </w:r>
    </w:p>
    <w:p w14:paraId="0E93FC11" w14:textId="5E39D3D1" w:rsidR="00570532" w:rsidRDefault="00570532">
      <w:pPr>
        <w:tabs>
          <w:tab w:val="left" w:pos="7960"/>
        </w:tabs>
        <w:rPr>
          <w:sz w:val="10"/>
        </w:rPr>
      </w:pPr>
    </w:p>
    <w:p w14:paraId="01B5F144" w14:textId="7CC7BA36" w:rsidR="00570532" w:rsidRDefault="00570532">
      <w:pPr>
        <w:tabs>
          <w:tab w:val="left" w:pos="7960"/>
        </w:tabs>
        <w:rPr>
          <w:sz w:val="10"/>
        </w:rPr>
      </w:pPr>
      <w:r>
        <w:rPr>
          <w:noProof/>
        </w:rPr>
        <w:drawing>
          <wp:inline distT="0" distB="0" distL="0" distR="0" wp14:anchorId="209D0D73" wp14:editId="16943486">
            <wp:extent cx="5980450" cy="5849957"/>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1319" b="2294"/>
                    <a:stretch/>
                  </pic:blipFill>
                  <pic:spPr bwMode="auto">
                    <a:xfrm>
                      <a:off x="0" y="0"/>
                      <a:ext cx="5992443" cy="5861689"/>
                    </a:xfrm>
                    <a:prstGeom prst="rect">
                      <a:avLst/>
                    </a:prstGeom>
                    <a:ln>
                      <a:noFill/>
                    </a:ln>
                    <a:extLst>
                      <a:ext uri="{53640926-AAD7-44D8-BBD7-CCE9431645EC}">
                        <a14:shadowObscured xmlns:a14="http://schemas.microsoft.com/office/drawing/2010/main"/>
                      </a:ext>
                    </a:extLst>
                  </pic:spPr>
                </pic:pic>
              </a:graphicData>
            </a:graphic>
          </wp:inline>
        </w:drawing>
      </w:r>
    </w:p>
    <w:p w14:paraId="153F95E4" w14:textId="43661170" w:rsidR="00A43170" w:rsidRDefault="00A43170">
      <w:pPr>
        <w:tabs>
          <w:tab w:val="left" w:pos="7960"/>
        </w:tabs>
        <w:rPr>
          <w:sz w:val="10"/>
        </w:rPr>
      </w:pPr>
    </w:p>
    <w:p w14:paraId="4E28B0A8" w14:textId="3682AB03" w:rsidR="00A43170" w:rsidRPr="008E5267" w:rsidRDefault="00A43170" w:rsidP="00A43170">
      <w:pPr>
        <w:keepNext/>
        <w:keepLines/>
        <w:tabs>
          <w:tab w:val="left" w:pos="7960"/>
        </w:tabs>
        <w:rPr>
          <w:b/>
          <w:bCs/>
        </w:rPr>
      </w:pPr>
      <w:r w:rsidRPr="008E5267">
        <w:rPr>
          <w:b/>
          <w:bCs/>
        </w:rPr>
        <w:lastRenderedPageBreak/>
        <w:t xml:space="preserve">Figure </w:t>
      </w:r>
      <w:r>
        <w:rPr>
          <w:b/>
          <w:bCs/>
        </w:rPr>
        <w:t>2</w:t>
      </w:r>
      <w:r w:rsidRPr="008E5267">
        <w:rPr>
          <w:b/>
          <w:bCs/>
        </w:rPr>
        <w:t xml:space="preserve">: </w:t>
      </w:r>
      <w:r>
        <w:rPr>
          <w:b/>
          <w:bCs/>
        </w:rPr>
        <w:t xml:space="preserve">Potential </w:t>
      </w:r>
      <w:r w:rsidRPr="008E5267">
        <w:rPr>
          <w:b/>
          <w:bCs/>
        </w:rPr>
        <w:t xml:space="preserve">Undergrounding </w:t>
      </w:r>
      <w:r>
        <w:rPr>
          <w:b/>
          <w:bCs/>
        </w:rPr>
        <w:t>Alignment Areas (Purple Lines)</w:t>
      </w:r>
    </w:p>
    <w:p w14:paraId="0A0DF932" w14:textId="77777777" w:rsidR="00A43170" w:rsidRDefault="00A43170" w:rsidP="00A43170">
      <w:pPr>
        <w:tabs>
          <w:tab w:val="left" w:pos="7960"/>
        </w:tabs>
        <w:rPr>
          <w:sz w:val="10"/>
        </w:rPr>
      </w:pPr>
      <w:r>
        <w:rPr>
          <w:noProof/>
        </w:rPr>
        <w:drawing>
          <wp:inline distT="0" distB="0" distL="0" distR="0" wp14:anchorId="455BFC3E" wp14:editId="74E8A844">
            <wp:extent cx="6281420" cy="5628567"/>
            <wp:effectExtent l="0" t="0" r="5080" b="0"/>
            <wp:docPr id="1" name="Picture 1" descr="cid:image002.jpg@01D5213A.CB2C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2.jpg@01D5213A.CB2C3730"/>
                    <pic:cNvPicPr>
                      <a:picLocks noChangeAspect="1" noChangeArrowheads="1"/>
                    </pic:cNvPicPr>
                  </pic:nvPicPr>
                  <pic:blipFill rotWithShape="1">
                    <a:blip r:embed="rId9" r:link="rId10">
                      <a:extLst>
                        <a:ext uri="{28A0092B-C50C-407E-A947-70E740481C1C}">
                          <a14:useLocalDpi xmlns:a14="http://schemas.microsoft.com/office/drawing/2010/main" val="0"/>
                        </a:ext>
                      </a:extLst>
                    </a:blip>
                    <a:srcRect t="15822"/>
                    <a:stretch/>
                  </pic:blipFill>
                  <pic:spPr bwMode="auto">
                    <a:xfrm>
                      <a:off x="0" y="0"/>
                      <a:ext cx="6281420" cy="5628567"/>
                    </a:xfrm>
                    <a:prstGeom prst="rect">
                      <a:avLst/>
                    </a:prstGeom>
                    <a:noFill/>
                    <a:ln>
                      <a:noFill/>
                    </a:ln>
                    <a:extLst>
                      <a:ext uri="{53640926-AAD7-44D8-BBD7-CCE9431645EC}">
                        <a14:shadowObscured xmlns:a14="http://schemas.microsoft.com/office/drawing/2010/main"/>
                      </a:ext>
                    </a:extLst>
                  </pic:spPr>
                </pic:pic>
              </a:graphicData>
            </a:graphic>
          </wp:inline>
        </w:drawing>
      </w:r>
    </w:p>
    <w:p w14:paraId="551DB6AC" w14:textId="77777777" w:rsidR="00A43170" w:rsidRDefault="00A43170" w:rsidP="00A43170">
      <w:pPr>
        <w:keepNext/>
        <w:keepLines/>
        <w:tabs>
          <w:tab w:val="left" w:pos="7960"/>
        </w:tabs>
        <w:rPr>
          <w:b/>
          <w:bCs/>
        </w:rPr>
      </w:pPr>
    </w:p>
    <w:p w14:paraId="6FF5D792" w14:textId="77777777" w:rsidR="00A43170" w:rsidRDefault="00A43170" w:rsidP="00A43170">
      <w:pPr>
        <w:tabs>
          <w:tab w:val="left" w:pos="7960"/>
        </w:tabs>
        <w:rPr>
          <w:sz w:val="10"/>
        </w:rPr>
      </w:pPr>
    </w:p>
    <w:p w14:paraId="3DB7C5B6" w14:textId="77777777" w:rsidR="00A43170" w:rsidRDefault="00A43170">
      <w:pPr>
        <w:tabs>
          <w:tab w:val="left" w:pos="7960"/>
        </w:tabs>
        <w:rPr>
          <w:sz w:val="10"/>
        </w:rPr>
      </w:pPr>
    </w:p>
    <w:p w14:paraId="3908CEB6" w14:textId="21EEE7B9" w:rsidR="009334B5" w:rsidRDefault="009334B5">
      <w:pPr>
        <w:tabs>
          <w:tab w:val="left" w:pos="7960"/>
        </w:tabs>
        <w:rPr>
          <w:sz w:val="10"/>
        </w:rPr>
      </w:pPr>
    </w:p>
    <w:p w14:paraId="0060EE20" w14:textId="77777777" w:rsidR="009334B5" w:rsidRDefault="009334B5" w:rsidP="009334B5">
      <w:pPr>
        <w:keepNext/>
        <w:keepLines/>
        <w:tabs>
          <w:tab w:val="left" w:pos="7960"/>
        </w:tabs>
        <w:rPr>
          <w:b/>
          <w:bCs/>
        </w:rPr>
      </w:pPr>
    </w:p>
    <w:p w14:paraId="653C623F" w14:textId="46906824" w:rsidR="009334B5" w:rsidRPr="00646DFB" w:rsidRDefault="009334B5">
      <w:pPr>
        <w:tabs>
          <w:tab w:val="left" w:pos="7960"/>
        </w:tabs>
        <w:rPr>
          <w:sz w:val="10"/>
        </w:rPr>
      </w:pPr>
    </w:p>
    <w:sectPr w:rsidR="009334B5" w:rsidRPr="00646DFB">
      <w:headerReference w:type="even" r:id="rId11"/>
      <w:headerReference w:type="default" r:id="rId12"/>
      <w:footerReference w:type="even" r:id="rId13"/>
      <w:footerReference w:type="default" r:id="rId14"/>
      <w:pgSz w:w="15840" w:h="12240"/>
      <w:pgMar w:top="1080" w:right="720" w:bottom="630" w:left="720" w:header="540" w:footer="41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B0216E" w14:textId="77777777" w:rsidR="00AC1A74" w:rsidRDefault="00AC1A74">
      <w:r>
        <w:separator/>
      </w:r>
    </w:p>
  </w:endnote>
  <w:endnote w:type="continuationSeparator" w:id="0">
    <w:p w14:paraId="7290E35A" w14:textId="77777777" w:rsidR="00AC1A74" w:rsidRDefault="00AC1A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E756C1" w14:textId="77777777" w:rsidR="00FB37A5" w:rsidRDefault="004518DA">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end"/>
    </w:r>
  </w:p>
  <w:p w14:paraId="36F7E169" w14:textId="77777777" w:rsidR="00FB37A5" w:rsidRDefault="00FB37A5">
    <w:pPr>
      <w:pBdr>
        <w:top w:val="nil"/>
        <w:left w:val="nil"/>
        <w:bottom w:val="nil"/>
        <w:right w:val="nil"/>
        <w:between w:val="nil"/>
      </w:pBdr>
      <w:tabs>
        <w:tab w:val="center" w:pos="4320"/>
        <w:tab w:val="right" w:pos="8640"/>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BA1BDB" w14:textId="77777777" w:rsidR="00FB37A5" w:rsidRDefault="004518DA">
    <w:pPr>
      <w:pBdr>
        <w:top w:val="nil"/>
        <w:left w:val="nil"/>
        <w:bottom w:val="nil"/>
        <w:right w:val="nil"/>
        <w:between w:val="nil"/>
      </w:pBdr>
      <w:tabs>
        <w:tab w:val="center" w:pos="4320"/>
        <w:tab w:val="right" w:pos="8640"/>
      </w:tabs>
      <w:jc w:val="center"/>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sidR="00A807BC">
      <w:rPr>
        <w:noProof/>
        <w:color w:val="000000"/>
        <w:sz w:val="20"/>
        <w:szCs w:val="20"/>
      </w:rPr>
      <w:t>4</w: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separate"/>
    </w:r>
    <w:r w:rsidR="00A807BC">
      <w:rPr>
        <w:noProof/>
        <w:color w:val="000000"/>
        <w:sz w:val="20"/>
        <w:szCs w:val="20"/>
      </w:rPr>
      <w:t>4</w:t>
    </w:r>
    <w:r>
      <w:rPr>
        <w:color w:val="00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118CE8" w14:textId="77777777" w:rsidR="00AC1A74" w:rsidRDefault="00AC1A74">
      <w:r>
        <w:separator/>
      </w:r>
    </w:p>
  </w:footnote>
  <w:footnote w:type="continuationSeparator" w:id="0">
    <w:p w14:paraId="56602935" w14:textId="77777777" w:rsidR="00AC1A74" w:rsidRDefault="00AC1A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E1EE6D" w14:textId="70D9313C" w:rsidR="00B955E7" w:rsidRDefault="00AC1A74">
    <w:pPr>
      <w:pStyle w:val="Header"/>
    </w:pPr>
    <w:r>
      <w:rPr>
        <w:noProof/>
      </w:rPr>
      <w:pict w14:anchorId="5D145A4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2" type="#_x0000_t136" style="position:absolute;margin-left:0;margin-top:0;width:530.25pt;height:212.1pt;rotation:315;z-index:-251654656;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r>
      <w:rPr>
        <w:noProof/>
      </w:rPr>
      <w:pict w14:anchorId="0F8B8657">
        <v:shape id="_x0000_s2050" type="#_x0000_t136" style="position:absolute;margin-left:0;margin-top:0;width:530.25pt;height:212.1pt;rotation:315;z-index:-251658752;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8C6319" w14:textId="7F8B1205" w:rsidR="00627CE5" w:rsidRPr="009508BB" w:rsidRDefault="00627CE5" w:rsidP="009508BB">
    <w:pPr>
      <w:pBdr>
        <w:top w:val="nil"/>
        <w:left w:val="nil"/>
        <w:bottom w:val="nil"/>
        <w:right w:val="nil"/>
        <w:between w:val="nil"/>
      </w:pBdr>
      <w:tabs>
        <w:tab w:val="center" w:pos="4320"/>
        <w:tab w:val="right" w:pos="8640"/>
      </w:tabs>
      <w:spacing w:after="120"/>
      <w:jc w:val="center"/>
      <w:rPr>
        <w:b/>
        <w:color w:val="000000"/>
      </w:rPr>
    </w:pPr>
    <w:r>
      <w:rPr>
        <w:b/>
        <w:color w:val="000000"/>
      </w:rPr>
      <w:t xml:space="preserve">Data Request No. </w:t>
    </w:r>
    <w:r w:rsidR="009508BB">
      <w:rPr>
        <w:b/>
        <w:color w:val="000000"/>
      </w:rPr>
      <w:t>4</w:t>
    </w:r>
    <w:r w:rsidR="004518DA">
      <w:rPr>
        <w:b/>
        <w:color w:val="000000"/>
      </w:rPr>
      <w:t xml:space="preserve"> (</w:t>
    </w:r>
    <w:r w:rsidR="009508BB">
      <w:rPr>
        <w:b/>
        <w:color w:val="000000"/>
      </w:rPr>
      <w:t xml:space="preserve">June </w:t>
    </w:r>
    <w:r w:rsidR="00A43170">
      <w:rPr>
        <w:b/>
        <w:color w:val="000000"/>
      </w:rPr>
      <w:t>27</w:t>
    </w:r>
    <w:r w:rsidR="00807199">
      <w:rPr>
        <w:b/>
        <w:color w:val="000000"/>
      </w:rPr>
      <w:t>, 2019</w:t>
    </w:r>
    <w:r w:rsidR="004518DA">
      <w:rPr>
        <w:b/>
        <w:color w:val="000000"/>
      </w:rPr>
      <w:t>) for the</w:t>
    </w:r>
    <w:r w:rsidR="004518DA">
      <w:rPr>
        <w:b/>
        <w:color w:val="000000"/>
      </w:rPr>
      <w:br/>
      <w:t>Estrella Substation and Paso Robles Area Reinforcement Project (A.17-01-023)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158BB"/>
    <w:multiLevelType w:val="hybridMultilevel"/>
    <w:tmpl w:val="AFA83E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8A6AB6"/>
    <w:multiLevelType w:val="hybridMultilevel"/>
    <w:tmpl w:val="4D7E4B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E90BC3"/>
    <w:multiLevelType w:val="hybridMultilevel"/>
    <w:tmpl w:val="3F96D9C6"/>
    <w:lvl w:ilvl="0" w:tplc="30569DE8">
      <w:start w:val="1"/>
      <w:numFmt w:val="decimal"/>
      <w:lvlText w:val="%1."/>
      <w:lvlJc w:val="left"/>
      <w:pPr>
        <w:ind w:left="720" w:hanging="360"/>
      </w:pPr>
      <w:rPr>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4F5174"/>
    <w:multiLevelType w:val="hybridMultilevel"/>
    <w:tmpl w:val="2EDAF1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EF748B"/>
    <w:multiLevelType w:val="hybridMultilevel"/>
    <w:tmpl w:val="FD86A8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4A0A73"/>
    <w:multiLevelType w:val="hybridMultilevel"/>
    <w:tmpl w:val="83FE14F4"/>
    <w:lvl w:ilvl="0" w:tplc="5ADC0C82">
      <w:start w:val="1"/>
      <w:numFmt w:val="decimal"/>
      <w:lvlText w:val="%1."/>
      <w:lvlJc w:val="left"/>
      <w:pPr>
        <w:ind w:left="1080" w:hanging="360"/>
      </w:pPr>
      <w:rPr>
        <w:color w:val="000000" w:themeColor="text1"/>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 w15:restartNumberingAfterBreak="0">
    <w:nsid w:val="17B6599F"/>
    <w:multiLevelType w:val="hybridMultilevel"/>
    <w:tmpl w:val="FE468E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9603425"/>
    <w:multiLevelType w:val="hybridMultilevel"/>
    <w:tmpl w:val="540CA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596590"/>
    <w:multiLevelType w:val="hybridMultilevel"/>
    <w:tmpl w:val="52304F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4F6802"/>
    <w:multiLevelType w:val="hybridMultilevel"/>
    <w:tmpl w:val="B54814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2B10696"/>
    <w:multiLevelType w:val="hybridMultilevel"/>
    <w:tmpl w:val="BEFEA8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107482"/>
    <w:multiLevelType w:val="hybridMultilevel"/>
    <w:tmpl w:val="F5C8A8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391039D"/>
    <w:multiLevelType w:val="hybridMultilevel"/>
    <w:tmpl w:val="341095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6A13E6"/>
    <w:multiLevelType w:val="hybridMultilevel"/>
    <w:tmpl w:val="DC44C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1826A12"/>
    <w:multiLevelType w:val="hybridMultilevel"/>
    <w:tmpl w:val="54EAE6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428693F"/>
    <w:multiLevelType w:val="hybridMultilevel"/>
    <w:tmpl w:val="341095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A7D7383"/>
    <w:multiLevelType w:val="hybridMultilevel"/>
    <w:tmpl w:val="909E69F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6BE6D15"/>
    <w:multiLevelType w:val="hybridMultilevel"/>
    <w:tmpl w:val="0B68EF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9CD5B83"/>
    <w:multiLevelType w:val="hybridMultilevel"/>
    <w:tmpl w:val="FD86A8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4BF50A1"/>
    <w:multiLevelType w:val="hybridMultilevel"/>
    <w:tmpl w:val="7D383B7C"/>
    <w:lvl w:ilvl="0" w:tplc="687A9D34">
      <w:start w:val="1"/>
      <w:numFmt w:val="decimal"/>
      <w:lvlText w:val="%1."/>
      <w:lvlJc w:val="left"/>
      <w:pPr>
        <w:ind w:left="1080" w:hanging="360"/>
      </w:pPr>
      <w:rPr>
        <w:sz w:val="24"/>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0" w15:restartNumberingAfterBreak="0">
    <w:nsid w:val="64DC1A45"/>
    <w:multiLevelType w:val="hybridMultilevel"/>
    <w:tmpl w:val="03041402"/>
    <w:lvl w:ilvl="0" w:tplc="119E4A2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66F21E2C"/>
    <w:multiLevelType w:val="hybridMultilevel"/>
    <w:tmpl w:val="38B28FD0"/>
    <w:lvl w:ilvl="0" w:tplc="04090005">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2" w15:restartNumberingAfterBreak="0">
    <w:nsid w:val="6A8378CB"/>
    <w:multiLevelType w:val="hybridMultilevel"/>
    <w:tmpl w:val="8E3646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6B2E1003"/>
    <w:multiLevelType w:val="hybridMultilevel"/>
    <w:tmpl w:val="E300FE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EED4EFC"/>
    <w:multiLevelType w:val="hybridMultilevel"/>
    <w:tmpl w:val="D1846B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42E6764"/>
    <w:multiLevelType w:val="hybridMultilevel"/>
    <w:tmpl w:val="6A0238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907725"/>
    <w:multiLevelType w:val="multilevel"/>
    <w:tmpl w:val="0D9C7AB4"/>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num w:numId="1">
    <w:abstractNumId w:val="26"/>
  </w:num>
  <w:num w:numId="2">
    <w:abstractNumId w:val="11"/>
  </w:num>
  <w:num w:numId="3">
    <w:abstractNumId w:val="10"/>
  </w:num>
  <w:num w:numId="4">
    <w:abstractNumId w:val="3"/>
  </w:num>
  <w:num w:numId="5">
    <w:abstractNumId w:val="8"/>
  </w:num>
  <w:num w:numId="6">
    <w:abstractNumId w:val="9"/>
  </w:num>
  <w:num w:numId="7">
    <w:abstractNumId w:val="12"/>
  </w:num>
  <w:num w:numId="8">
    <w:abstractNumId w:val="0"/>
  </w:num>
  <w:num w:numId="9">
    <w:abstractNumId w:val="18"/>
  </w:num>
  <w:num w:numId="10">
    <w:abstractNumId w:val="24"/>
  </w:num>
  <w:num w:numId="11">
    <w:abstractNumId w:val="23"/>
  </w:num>
  <w:num w:numId="12">
    <w:abstractNumId w:val="17"/>
  </w:num>
  <w:num w:numId="13">
    <w:abstractNumId w:val="25"/>
  </w:num>
  <w:num w:numId="14">
    <w:abstractNumId w:val="15"/>
  </w:num>
  <w:num w:numId="15">
    <w:abstractNumId w:val="4"/>
  </w:num>
  <w:num w:numId="16">
    <w:abstractNumId w:val="6"/>
  </w:num>
  <w:num w:numId="1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1"/>
  </w:num>
  <w:num w:numId="19">
    <w:abstractNumId w:val="21"/>
  </w:num>
  <w:num w:numId="20">
    <w:abstractNumId w:val="14"/>
  </w:num>
  <w:num w:numId="21">
    <w:abstractNumId w:val="2"/>
  </w:num>
  <w:num w:numId="22">
    <w:abstractNumId w:val="5"/>
  </w:num>
  <w:num w:numId="23">
    <w:abstractNumId w:val="19"/>
  </w:num>
  <w:num w:numId="24">
    <w:abstractNumId w:val="16"/>
  </w:num>
  <w:num w:numId="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2"/>
  </w:num>
  <w:num w:numId="27">
    <w:abstractNumId w:val="1"/>
  </w:num>
  <w:num w:numId="28">
    <w:abstractNumId w:val="13"/>
  </w:num>
  <w:num w:numId="2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6"/>
  <w:defaultTabStop w:val="720"/>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37A5"/>
    <w:rsid w:val="00006628"/>
    <w:rsid w:val="00010AEF"/>
    <w:rsid w:val="00037D6D"/>
    <w:rsid w:val="0004490B"/>
    <w:rsid w:val="000519D2"/>
    <w:rsid w:val="000537C3"/>
    <w:rsid w:val="0005556B"/>
    <w:rsid w:val="00071B4E"/>
    <w:rsid w:val="00095CFD"/>
    <w:rsid w:val="000B4E20"/>
    <w:rsid w:val="000E0F0B"/>
    <w:rsid w:val="000E7F2F"/>
    <w:rsid w:val="000F4AB4"/>
    <w:rsid w:val="0010407C"/>
    <w:rsid w:val="0010657C"/>
    <w:rsid w:val="00110F6B"/>
    <w:rsid w:val="00145511"/>
    <w:rsid w:val="001511CE"/>
    <w:rsid w:val="00153592"/>
    <w:rsid w:val="00163EE0"/>
    <w:rsid w:val="001771DF"/>
    <w:rsid w:val="001A2133"/>
    <w:rsid w:val="001B6805"/>
    <w:rsid w:val="001C695C"/>
    <w:rsid w:val="001E5F13"/>
    <w:rsid w:val="0021619B"/>
    <w:rsid w:val="00226FEF"/>
    <w:rsid w:val="002321A7"/>
    <w:rsid w:val="002703A8"/>
    <w:rsid w:val="002A49FB"/>
    <w:rsid w:val="002B035F"/>
    <w:rsid w:val="002B7BBA"/>
    <w:rsid w:val="002C0DF6"/>
    <w:rsid w:val="002C232D"/>
    <w:rsid w:val="002C259D"/>
    <w:rsid w:val="002E3F9B"/>
    <w:rsid w:val="002E572D"/>
    <w:rsid w:val="003279EF"/>
    <w:rsid w:val="0034310A"/>
    <w:rsid w:val="003621FC"/>
    <w:rsid w:val="00363340"/>
    <w:rsid w:val="003A0669"/>
    <w:rsid w:val="003A5609"/>
    <w:rsid w:val="003C49C1"/>
    <w:rsid w:val="003E2088"/>
    <w:rsid w:val="004518DA"/>
    <w:rsid w:val="0045251C"/>
    <w:rsid w:val="004649C7"/>
    <w:rsid w:val="00465D73"/>
    <w:rsid w:val="00467686"/>
    <w:rsid w:val="004719C2"/>
    <w:rsid w:val="00486021"/>
    <w:rsid w:val="004A7D9E"/>
    <w:rsid w:val="004B37C8"/>
    <w:rsid w:val="004C012F"/>
    <w:rsid w:val="004D75D0"/>
    <w:rsid w:val="00510A57"/>
    <w:rsid w:val="005110EC"/>
    <w:rsid w:val="00527584"/>
    <w:rsid w:val="0053683C"/>
    <w:rsid w:val="00541F27"/>
    <w:rsid w:val="0056231F"/>
    <w:rsid w:val="0056376C"/>
    <w:rsid w:val="00570532"/>
    <w:rsid w:val="005740F7"/>
    <w:rsid w:val="00581327"/>
    <w:rsid w:val="00585B45"/>
    <w:rsid w:val="00593322"/>
    <w:rsid w:val="00597DA4"/>
    <w:rsid w:val="005A302A"/>
    <w:rsid w:val="005B1545"/>
    <w:rsid w:val="005B4956"/>
    <w:rsid w:val="005B6201"/>
    <w:rsid w:val="005C5624"/>
    <w:rsid w:val="005C6299"/>
    <w:rsid w:val="005C7749"/>
    <w:rsid w:val="005E66C7"/>
    <w:rsid w:val="005F0145"/>
    <w:rsid w:val="005F27BF"/>
    <w:rsid w:val="00621419"/>
    <w:rsid w:val="00627CE5"/>
    <w:rsid w:val="00633375"/>
    <w:rsid w:val="0064060D"/>
    <w:rsid w:val="0064166E"/>
    <w:rsid w:val="00643C61"/>
    <w:rsid w:val="006461A6"/>
    <w:rsid w:val="0064656A"/>
    <w:rsid w:val="00646DFB"/>
    <w:rsid w:val="00655D8C"/>
    <w:rsid w:val="0066047B"/>
    <w:rsid w:val="006724C8"/>
    <w:rsid w:val="00677117"/>
    <w:rsid w:val="0069392B"/>
    <w:rsid w:val="006B1EAD"/>
    <w:rsid w:val="006C04B0"/>
    <w:rsid w:val="006D4674"/>
    <w:rsid w:val="006D4887"/>
    <w:rsid w:val="006D706D"/>
    <w:rsid w:val="006F12EB"/>
    <w:rsid w:val="006F1F80"/>
    <w:rsid w:val="006F21FB"/>
    <w:rsid w:val="006F3660"/>
    <w:rsid w:val="007017F2"/>
    <w:rsid w:val="007036C5"/>
    <w:rsid w:val="00711C3C"/>
    <w:rsid w:val="00717F40"/>
    <w:rsid w:val="00723002"/>
    <w:rsid w:val="0075340D"/>
    <w:rsid w:val="00771E94"/>
    <w:rsid w:val="0077698E"/>
    <w:rsid w:val="007856BA"/>
    <w:rsid w:val="00790C21"/>
    <w:rsid w:val="00791D40"/>
    <w:rsid w:val="00796902"/>
    <w:rsid w:val="007A0A47"/>
    <w:rsid w:val="007D0FCB"/>
    <w:rsid w:val="007D4874"/>
    <w:rsid w:val="007D5159"/>
    <w:rsid w:val="007F0A65"/>
    <w:rsid w:val="007F0CB4"/>
    <w:rsid w:val="007F23ED"/>
    <w:rsid w:val="007F28A9"/>
    <w:rsid w:val="007F568A"/>
    <w:rsid w:val="00807199"/>
    <w:rsid w:val="00807DC2"/>
    <w:rsid w:val="00815458"/>
    <w:rsid w:val="00815803"/>
    <w:rsid w:val="0083299F"/>
    <w:rsid w:val="00837E7B"/>
    <w:rsid w:val="00852308"/>
    <w:rsid w:val="008529AF"/>
    <w:rsid w:val="00870832"/>
    <w:rsid w:val="008A29AC"/>
    <w:rsid w:val="008A5F53"/>
    <w:rsid w:val="008A609B"/>
    <w:rsid w:val="008B0EA3"/>
    <w:rsid w:val="008B71D6"/>
    <w:rsid w:val="008C07B7"/>
    <w:rsid w:val="008D1452"/>
    <w:rsid w:val="008D72C0"/>
    <w:rsid w:val="008E4043"/>
    <w:rsid w:val="008E5267"/>
    <w:rsid w:val="008F4F10"/>
    <w:rsid w:val="00915B67"/>
    <w:rsid w:val="00917187"/>
    <w:rsid w:val="009231B2"/>
    <w:rsid w:val="00930B91"/>
    <w:rsid w:val="009334B5"/>
    <w:rsid w:val="009351F0"/>
    <w:rsid w:val="00937B86"/>
    <w:rsid w:val="009508BB"/>
    <w:rsid w:val="00951CEC"/>
    <w:rsid w:val="00960F7C"/>
    <w:rsid w:val="00960FFD"/>
    <w:rsid w:val="00971071"/>
    <w:rsid w:val="00995BFE"/>
    <w:rsid w:val="00995F23"/>
    <w:rsid w:val="0099770D"/>
    <w:rsid w:val="00997A16"/>
    <w:rsid w:val="009B3DFC"/>
    <w:rsid w:val="009C4BAE"/>
    <w:rsid w:val="009D5250"/>
    <w:rsid w:val="009D684A"/>
    <w:rsid w:val="009E046E"/>
    <w:rsid w:val="009F7000"/>
    <w:rsid w:val="00A058F5"/>
    <w:rsid w:val="00A15AB1"/>
    <w:rsid w:val="00A250AA"/>
    <w:rsid w:val="00A43170"/>
    <w:rsid w:val="00A534F6"/>
    <w:rsid w:val="00A807BC"/>
    <w:rsid w:val="00A85773"/>
    <w:rsid w:val="00AA08E3"/>
    <w:rsid w:val="00AA3484"/>
    <w:rsid w:val="00AC1A74"/>
    <w:rsid w:val="00AF3856"/>
    <w:rsid w:val="00B26ED2"/>
    <w:rsid w:val="00B44E60"/>
    <w:rsid w:val="00B55524"/>
    <w:rsid w:val="00B6799B"/>
    <w:rsid w:val="00B955E7"/>
    <w:rsid w:val="00BC3DBA"/>
    <w:rsid w:val="00BC5691"/>
    <w:rsid w:val="00BC7BA6"/>
    <w:rsid w:val="00BD7206"/>
    <w:rsid w:val="00BE3071"/>
    <w:rsid w:val="00BE362E"/>
    <w:rsid w:val="00BF3BAE"/>
    <w:rsid w:val="00C04283"/>
    <w:rsid w:val="00C20610"/>
    <w:rsid w:val="00C22F1B"/>
    <w:rsid w:val="00C263B7"/>
    <w:rsid w:val="00C3264A"/>
    <w:rsid w:val="00C333D4"/>
    <w:rsid w:val="00C33666"/>
    <w:rsid w:val="00C53867"/>
    <w:rsid w:val="00C665F6"/>
    <w:rsid w:val="00C77801"/>
    <w:rsid w:val="00CC3C51"/>
    <w:rsid w:val="00CD2528"/>
    <w:rsid w:val="00CE1665"/>
    <w:rsid w:val="00D17858"/>
    <w:rsid w:val="00D23A52"/>
    <w:rsid w:val="00D30F5F"/>
    <w:rsid w:val="00D3585A"/>
    <w:rsid w:val="00D54F12"/>
    <w:rsid w:val="00D80088"/>
    <w:rsid w:val="00D82A6B"/>
    <w:rsid w:val="00DB0039"/>
    <w:rsid w:val="00DB425C"/>
    <w:rsid w:val="00DB55A8"/>
    <w:rsid w:val="00DD4B68"/>
    <w:rsid w:val="00DD7570"/>
    <w:rsid w:val="00DF08A3"/>
    <w:rsid w:val="00DF23F7"/>
    <w:rsid w:val="00E146B2"/>
    <w:rsid w:val="00E16E0C"/>
    <w:rsid w:val="00E32739"/>
    <w:rsid w:val="00E55A03"/>
    <w:rsid w:val="00E567C4"/>
    <w:rsid w:val="00E62F61"/>
    <w:rsid w:val="00E83093"/>
    <w:rsid w:val="00E84F3E"/>
    <w:rsid w:val="00EC5B98"/>
    <w:rsid w:val="00EF0CDC"/>
    <w:rsid w:val="00F16EE6"/>
    <w:rsid w:val="00F2197E"/>
    <w:rsid w:val="00F300AB"/>
    <w:rsid w:val="00F42AEB"/>
    <w:rsid w:val="00F51CF5"/>
    <w:rsid w:val="00F52F44"/>
    <w:rsid w:val="00F56253"/>
    <w:rsid w:val="00F64F1A"/>
    <w:rsid w:val="00F70A7E"/>
    <w:rsid w:val="00F72093"/>
    <w:rsid w:val="00F87E6B"/>
    <w:rsid w:val="00F962B7"/>
    <w:rsid w:val="00FB1168"/>
    <w:rsid w:val="00FB37A5"/>
    <w:rsid w:val="00FB4A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ecimalSymbol w:val="."/>
  <w:listSeparator w:val=","/>
  <w14:docId w14:val="66AD639C"/>
  <w15:docId w15:val="{B362F149-6CC7-43DE-A8DA-60E41E8AFE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outlineLvl w:val="0"/>
    </w:pPr>
    <w:rPr>
      <w:b/>
    </w:rPr>
  </w:style>
  <w:style w:type="paragraph" w:styleId="Heading2">
    <w:name w:val="heading 2"/>
    <w:basedOn w:val="Normal"/>
    <w:next w:val="Normal"/>
    <w:pPr>
      <w:keepNext/>
      <w:keepLines/>
      <w:spacing w:before="360" w:after="80"/>
      <w:outlineLvl w:val="1"/>
    </w:pPr>
    <w:rPr>
      <w:b/>
      <w:sz w:val="36"/>
      <w:szCs w:val="36"/>
    </w:rPr>
  </w:style>
  <w:style w:type="paragraph" w:styleId="Heading3">
    <w:name w:val="heading 3"/>
    <w:basedOn w:val="Normal"/>
    <w:next w:val="Normal"/>
    <w:pPr>
      <w:keepNext/>
      <w:spacing w:before="240" w:after="60"/>
      <w:outlineLvl w:val="2"/>
    </w:pPr>
    <w:rPr>
      <w:rFonts w:ascii="Arial" w:eastAsia="Arial" w:hAnsi="Arial" w:cs="Arial"/>
      <w:b/>
      <w:sz w:val="26"/>
      <w:szCs w:val="26"/>
    </w:rPr>
  </w:style>
  <w:style w:type="paragraph" w:styleId="Heading4">
    <w:name w:val="heading 4"/>
    <w:basedOn w:val="Normal"/>
    <w:next w:val="Normal"/>
    <w:pPr>
      <w:keepNext/>
      <w:keepLines/>
      <w:spacing w:before="240" w:after="40"/>
      <w:outlineLvl w:val="3"/>
    </w:pPr>
    <w:rPr>
      <w:b/>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paragraph" w:styleId="Header">
    <w:name w:val="header"/>
    <w:basedOn w:val="Normal"/>
    <w:link w:val="HeaderChar"/>
    <w:uiPriority w:val="99"/>
    <w:unhideWhenUsed/>
    <w:rsid w:val="00915B67"/>
    <w:pPr>
      <w:tabs>
        <w:tab w:val="center" w:pos="4680"/>
        <w:tab w:val="right" w:pos="9360"/>
      </w:tabs>
    </w:pPr>
  </w:style>
  <w:style w:type="character" w:customStyle="1" w:styleId="HeaderChar">
    <w:name w:val="Header Char"/>
    <w:basedOn w:val="DefaultParagraphFont"/>
    <w:link w:val="Header"/>
    <w:uiPriority w:val="99"/>
    <w:rsid w:val="00915B67"/>
  </w:style>
  <w:style w:type="paragraph" w:styleId="Footer">
    <w:name w:val="footer"/>
    <w:basedOn w:val="Normal"/>
    <w:link w:val="FooterChar"/>
    <w:uiPriority w:val="99"/>
    <w:unhideWhenUsed/>
    <w:rsid w:val="00915B67"/>
    <w:pPr>
      <w:tabs>
        <w:tab w:val="center" w:pos="4680"/>
        <w:tab w:val="right" w:pos="9360"/>
      </w:tabs>
    </w:pPr>
  </w:style>
  <w:style w:type="character" w:customStyle="1" w:styleId="FooterChar">
    <w:name w:val="Footer Char"/>
    <w:basedOn w:val="DefaultParagraphFont"/>
    <w:link w:val="Footer"/>
    <w:uiPriority w:val="99"/>
    <w:rsid w:val="00915B67"/>
  </w:style>
  <w:style w:type="paragraph" w:styleId="ListParagraph">
    <w:name w:val="List Paragraph"/>
    <w:basedOn w:val="Normal"/>
    <w:uiPriority w:val="34"/>
    <w:qFormat/>
    <w:rsid w:val="00951CEC"/>
    <w:pPr>
      <w:ind w:left="720"/>
      <w:contextualSpacing/>
    </w:pPr>
  </w:style>
  <w:style w:type="character" w:styleId="CommentReference">
    <w:name w:val="annotation reference"/>
    <w:basedOn w:val="DefaultParagraphFont"/>
    <w:uiPriority w:val="99"/>
    <w:semiHidden/>
    <w:unhideWhenUsed/>
    <w:rsid w:val="00951CEC"/>
    <w:rPr>
      <w:sz w:val="16"/>
      <w:szCs w:val="16"/>
    </w:rPr>
  </w:style>
  <w:style w:type="paragraph" w:styleId="CommentText">
    <w:name w:val="annotation text"/>
    <w:basedOn w:val="Normal"/>
    <w:link w:val="CommentTextChar"/>
    <w:uiPriority w:val="99"/>
    <w:semiHidden/>
    <w:unhideWhenUsed/>
    <w:rsid w:val="00951CEC"/>
    <w:rPr>
      <w:sz w:val="20"/>
      <w:szCs w:val="20"/>
    </w:rPr>
  </w:style>
  <w:style w:type="character" w:customStyle="1" w:styleId="CommentTextChar">
    <w:name w:val="Comment Text Char"/>
    <w:basedOn w:val="DefaultParagraphFont"/>
    <w:link w:val="CommentText"/>
    <w:uiPriority w:val="99"/>
    <w:semiHidden/>
    <w:rsid w:val="00951CEC"/>
    <w:rPr>
      <w:sz w:val="20"/>
      <w:szCs w:val="20"/>
    </w:rPr>
  </w:style>
  <w:style w:type="paragraph" w:styleId="CommentSubject">
    <w:name w:val="annotation subject"/>
    <w:basedOn w:val="CommentText"/>
    <w:next w:val="CommentText"/>
    <w:link w:val="CommentSubjectChar"/>
    <w:uiPriority w:val="99"/>
    <w:semiHidden/>
    <w:unhideWhenUsed/>
    <w:rsid w:val="00951CEC"/>
    <w:rPr>
      <w:b/>
      <w:bCs/>
    </w:rPr>
  </w:style>
  <w:style w:type="character" w:customStyle="1" w:styleId="CommentSubjectChar">
    <w:name w:val="Comment Subject Char"/>
    <w:basedOn w:val="CommentTextChar"/>
    <w:link w:val="CommentSubject"/>
    <w:uiPriority w:val="99"/>
    <w:semiHidden/>
    <w:rsid w:val="00951CEC"/>
    <w:rPr>
      <w:b/>
      <w:bCs/>
      <w:sz w:val="20"/>
      <w:szCs w:val="20"/>
    </w:rPr>
  </w:style>
  <w:style w:type="paragraph" w:styleId="BalloonText">
    <w:name w:val="Balloon Text"/>
    <w:basedOn w:val="Normal"/>
    <w:link w:val="BalloonTextChar"/>
    <w:uiPriority w:val="99"/>
    <w:semiHidden/>
    <w:unhideWhenUsed/>
    <w:rsid w:val="00951CE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51CEC"/>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0921043">
      <w:bodyDiv w:val="1"/>
      <w:marLeft w:val="0"/>
      <w:marRight w:val="0"/>
      <w:marTop w:val="0"/>
      <w:marBottom w:val="0"/>
      <w:divBdr>
        <w:top w:val="none" w:sz="0" w:space="0" w:color="auto"/>
        <w:left w:val="none" w:sz="0" w:space="0" w:color="auto"/>
        <w:bottom w:val="none" w:sz="0" w:space="0" w:color="auto"/>
        <w:right w:val="none" w:sz="0" w:space="0" w:color="auto"/>
      </w:divBdr>
    </w:div>
    <w:div w:id="438531154">
      <w:bodyDiv w:val="1"/>
      <w:marLeft w:val="0"/>
      <w:marRight w:val="0"/>
      <w:marTop w:val="0"/>
      <w:marBottom w:val="0"/>
      <w:divBdr>
        <w:top w:val="none" w:sz="0" w:space="0" w:color="auto"/>
        <w:left w:val="none" w:sz="0" w:space="0" w:color="auto"/>
        <w:bottom w:val="none" w:sz="0" w:space="0" w:color="auto"/>
        <w:right w:val="none" w:sz="0" w:space="0" w:color="auto"/>
      </w:divBdr>
    </w:div>
    <w:div w:id="766656838">
      <w:bodyDiv w:val="1"/>
      <w:marLeft w:val="0"/>
      <w:marRight w:val="0"/>
      <w:marTop w:val="0"/>
      <w:marBottom w:val="0"/>
      <w:divBdr>
        <w:top w:val="none" w:sz="0" w:space="0" w:color="auto"/>
        <w:left w:val="none" w:sz="0" w:space="0" w:color="auto"/>
        <w:bottom w:val="none" w:sz="0" w:space="0" w:color="auto"/>
        <w:right w:val="none" w:sz="0" w:space="0" w:color="auto"/>
      </w:divBdr>
    </w:div>
    <w:div w:id="127987083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cid:image002.jpg@01D5213A.CB2C3730"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12EB81-F899-4F88-BB04-92DE6F7862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697</TotalTime>
  <Pages>6</Pages>
  <Words>1248</Words>
  <Characters>7116</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marketing@horizonh2o.com</dc:creator>
  <cp:lastModifiedBy>Peterson, Robert</cp:lastModifiedBy>
  <cp:revision>63</cp:revision>
  <dcterms:created xsi:type="dcterms:W3CDTF">2019-06-04T18:54:00Z</dcterms:created>
  <dcterms:modified xsi:type="dcterms:W3CDTF">2019-06-27T19:15:00Z</dcterms:modified>
  <cp:contentStatus/>
</cp:coreProperties>
</file>